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21" w:type="dxa"/>
        <w:tblInd w:w="-34" w:type="dxa"/>
        <w:tblBorders>
          <w:top w:val="single" w:sz="8" w:space="0" w:color="C0504D"/>
          <w:left w:val="single" w:sz="8" w:space="0" w:color="C0504D"/>
          <w:bottom w:val="single" w:sz="8" w:space="0" w:color="C0504D"/>
          <w:right w:val="single" w:sz="8" w:space="0" w:color="C0504D"/>
        </w:tblBorders>
        <w:shd w:val="clear" w:color="auto" w:fill="FFFF99"/>
        <w:tblLayout w:type="fixed"/>
        <w:tblLook w:val="04A0" w:firstRow="1" w:lastRow="0" w:firstColumn="1" w:lastColumn="0" w:noHBand="0" w:noVBand="1"/>
      </w:tblPr>
      <w:tblGrid>
        <w:gridCol w:w="6521"/>
      </w:tblGrid>
      <w:tr w:rsidR="00E87F7A" w:rsidRPr="00C74B9F" w14:paraId="382DAD1B" w14:textId="77777777" w:rsidTr="00A46E98">
        <w:tc>
          <w:tcPr>
            <w:tcW w:w="6521" w:type="dxa"/>
            <w:tcBorders>
              <w:top w:val="single" w:sz="8" w:space="0" w:color="C0504D"/>
              <w:left w:val="single" w:sz="8" w:space="0" w:color="C0504D"/>
              <w:bottom w:val="single" w:sz="8" w:space="0" w:color="C0504D"/>
              <w:right w:val="single" w:sz="4" w:space="0" w:color="C0504D"/>
            </w:tcBorders>
            <w:shd w:val="clear" w:color="auto" w:fill="FFFF99"/>
            <w:hideMark/>
          </w:tcPr>
          <w:p w14:paraId="1D67F4F9" w14:textId="77777777" w:rsidR="00E87F7A" w:rsidRPr="00A46E98" w:rsidRDefault="00E87F7A" w:rsidP="00A46E98">
            <w:pPr>
              <w:rPr>
                <w:rStyle w:val="Firstpagetablebold"/>
                <w:rFonts w:eastAsia="Calibri"/>
                <w:bCs/>
              </w:rPr>
            </w:pPr>
            <w:r w:rsidRPr="00A46E98">
              <w:rPr>
                <w:rStyle w:val="Firstpagetablebold"/>
                <w:rFonts w:eastAsia="Calibri"/>
                <w:bCs/>
              </w:rPr>
              <w:t>DRAFT – Not for publication or circulation</w:t>
            </w:r>
          </w:p>
        </w:tc>
      </w:tr>
    </w:tbl>
    <w:p w14:paraId="4B56A492" w14:textId="77777777"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14:paraId="02E59E49" w14:textId="77777777" w:rsidTr="005F7F7E">
        <w:tc>
          <w:tcPr>
            <w:tcW w:w="2438" w:type="dxa"/>
            <w:shd w:val="clear" w:color="auto" w:fill="auto"/>
          </w:tcPr>
          <w:p w14:paraId="55F464FB"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1BD2D943" w14:textId="00A3E2ED" w:rsidR="00F445B1" w:rsidRPr="00F95BC9" w:rsidRDefault="00BB47AF" w:rsidP="00BB47AF">
            <w:pPr>
              <w:rPr>
                <w:rStyle w:val="Firstpagetablebold"/>
              </w:rPr>
            </w:pPr>
            <w:r>
              <w:rPr>
                <w:rStyle w:val="Firstpagetablebold"/>
              </w:rPr>
              <w:t>Director of Housing</w:t>
            </w:r>
          </w:p>
        </w:tc>
      </w:tr>
      <w:tr w:rsidR="00CE544A" w:rsidRPr="00975B07" w14:paraId="063B67B6" w14:textId="77777777" w:rsidTr="005F7F7E">
        <w:tc>
          <w:tcPr>
            <w:tcW w:w="2438" w:type="dxa"/>
            <w:shd w:val="clear" w:color="auto" w:fill="auto"/>
          </w:tcPr>
          <w:p w14:paraId="3DF5F9D0"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14:paraId="207D693F" w14:textId="10B473F4" w:rsidR="00F445B1" w:rsidRPr="001356F1" w:rsidRDefault="00BB47AF" w:rsidP="00AE44DE">
            <w:pPr>
              <w:rPr>
                <w:b/>
              </w:rPr>
            </w:pPr>
            <w:r>
              <w:rPr>
                <w:rStyle w:val="Firstpagetablebold"/>
              </w:rPr>
              <w:t>27</w:t>
            </w:r>
            <w:r w:rsidR="00506C22">
              <w:rPr>
                <w:rStyle w:val="Firstpagetablebold"/>
              </w:rPr>
              <w:t xml:space="preserve"> July 2021</w:t>
            </w:r>
          </w:p>
        </w:tc>
      </w:tr>
      <w:tr w:rsidR="00CE544A" w:rsidRPr="00975B07" w14:paraId="52083489" w14:textId="77777777" w:rsidTr="005F7F7E">
        <w:tc>
          <w:tcPr>
            <w:tcW w:w="2438" w:type="dxa"/>
            <w:shd w:val="clear" w:color="auto" w:fill="auto"/>
          </w:tcPr>
          <w:p w14:paraId="30067215"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0253559E" w14:textId="5AB4DB63" w:rsidR="00F445B1" w:rsidRPr="001356F1" w:rsidRDefault="00506C22" w:rsidP="00506C22">
            <w:pPr>
              <w:rPr>
                <w:rStyle w:val="Firstpagetablebold"/>
              </w:rPr>
            </w:pPr>
            <w:r>
              <w:rPr>
                <w:rStyle w:val="Firstpagetablebold"/>
              </w:rPr>
              <w:t>Richard Adams, Community Safety Service Manager</w:t>
            </w:r>
          </w:p>
        </w:tc>
      </w:tr>
      <w:tr w:rsidR="00CE544A" w:rsidRPr="00975B07" w14:paraId="67D0392D" w14:textId="77777777" w:rsidTr="005F7F7E">
        <w:tc>
          <w:tcPr>
            <w:tcW w:w="2438" w:type="dxa"/>
            <w:shd w:val="clear" w:color="auto" w:fill="auto"/>
          </w:tcPr>
          <w:p w14:paraId="1FD45712"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301D1C37" w14:textId="37192603" w:rsidR="00F445B1" w:rsidRPr="001356F1" w:rsidRDefault="00506C22" w:rsidP="004A6D2F">
            <w:pPr>
              <w:rPr>
                <w:rStyle w:val="Firstpagetablebold"/>
              </w:rPr>
            </w:pPr>
            <w:r>
              <w:rPr>
                <w:b/>
                <w:bCs/>
              </w:rPr>
              <w:t>Parks</w:t>
            </w:r>
            <w:r w:rsidR="00DE1698" w:rsidRPr="0005215A">
              <w:rPr>
                <w:b/>
                <w:bCs/>
              </w:rPr>
              <w:t xml:space="preserve"> Public Spaces Protection Orders</w:t>
            </w:r>
          </w:p>
        </w:tc>
      </w:tr>
    </w:tbl>
    <w:p w14:paraId="3A2E7353" w14:textId="77777777"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D5547E" w14:paraId="7BFC21E8" w14:textId="77777777" w:rsidTr="0080749A">
        <w:tc>
          <w:tcPr>
            <w:tcW w:w="8845" w:type="dxa"/>
            <w:gridSpan w:val="2"/>
            <w:tcBorders>
              <w:bottom w:val="single" w:sz="8" w:space="0" w:color="000000"/>
            </w:tcBorders>
            <w:hideMark/>
          </w:tcPr>
          <w:p w14:paraId="230B1A49"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14:paraId="54DE91B1" w14:textId="77777777" w:rsidTr="0080749A">
        <w:tc>
          <w:tcPr>
            <w:tcW w:w="2438" w:type="dxa"/>
            <w:tcBorders>
              <w:top w:val="single" w:sz="8" w:space="0" w:color="000000"/>
              <w:left w:val="single" w:sz="8" w:space="0" w:color="000000"/>
              <w:bottom w:val="nil"/>
              <w:right w:val="nil"/>
            </w:tcBorders>
            <w:hideMark/>
          </w:tcPr>
          <w:p w14:paraId="12ADB4C0" w14:textId="77777777"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14:paraId="2CFBD9C8" w14:textId="035AB676" w:rsidR="00D5547E" w:rsidRPr="001356F1" w:rsidRDefault="00886AEF" w:rsidP="002D2B59">
            <w:r>
              <w:t>Consider the introduction of a Public Spaces Protection Order in Parks and Green Spaces to address fires and bottle digging.</w:t>
            </w:r>
          </w:p>
        </w:tc>
      </w:tr>
      <w:tr w:rsidR="00D5547E" w14:paraId="22EC3100" w14:textId="77777777" w:rsidTr="0080749A">
        <w:tc>
          <w:tcPr>
            <w:tcW w:w="2438" w:type="dxa"/>
            <w:tcBorders>
              <w:top w:val="nil"/>
              <w:left w:val="single" w:sz="8" w:space="0" w:color="000000"/>
              <w:bottom w:val="nil"/>
              <w:right w:val="nil"/>
            </w:tcBorders>
            <w:hideMark/>
          </w:tcPr>
          <w:p w14:paraId="0E1015D3" w14:textId="77777777" w:rsidR="00D5547E" w:rsidRDefault="00D860E2">
            <w:pPr>
              <w:rPr>
                <w:rStyle w:val="Firstpagetablebold"/>
              </w:rPr>
            </w:pPr>
            <w:r>
              <w:rPr>
                <w:rStyle w:val="Firstpagetablebold"/>
              </w:rPr>
              <w:t>Cabinet</w:t>
            </w:r>
            <w:r w:rsidR="00D5547E">
              <w:rPr>
                <w:rStyle w:val="Firstpagetablebold"/>
              </w:rPr>
              <w:t xml:space="preserve"> Member:</w:t>
            </w:r>
          </w:p>
        </w:tc>
        <w:tc>
          <w:tcPr>
            <w:tcW w:w="6407" w:type="dxa"/>
            <w:tcBorders>
              <w:top w:val="nil"/>
              <w:left w:val="nil"/>
              <w:bottom w:val="nil"/>
              <w:right w:val="single" w:sz="8" w:space="0" w:color="000000"/>
            </w:tcBorders>
            <w:hideMark/>
          </w:tcPr>
          <w:p w14:paraId="1A21EF76" w14:textId="77777777" w:rsidR="00D5547E" w:rsidRPr="001356F1" w:rsidRDefault="00D5547E" w:rsidP="00DE1698">
            <w:r w:rsidRPr="001356F1">
              <w:t xml:space="preserve">Councillor </w:t>
            </w:r>
            <w:r w:rsidR="00DE1698">
              <w:t>Louise Upton</w:t>
            </w:r>
            <w:r w:rsidRPr="001356F1">
              <w:t xml:space="preserve">, </w:t>
            </w:r>
            <w:r w:rsidR="00DE1698">
              <w:rPr>
                <w:lang w:val="en"/>
              </w:rPr>
              <w:t>Cabinet Member for a Safer, Healthy Oxford</w:t>
            </w:r>
          </w:p>
        </w:tc>
      </w:tr>
      <w:tr w:rsidR="0080749A" w14:paraId="66B4DA8E" w14:textId="77777777" w:rsidTr="00886AEF">
        <w:tc>
          <w:tcPr>
            <w:tcW w:w="2438" w:type="dxa"/>
            <w:tcBorders>
              <w:top w:val="nil"/>
              <w:left w:val="single" w:sz="8" w:space="0" w:color="000000"/>
              <w:bottom w:val="nil"/>
              <w:right w:val="nil"/>
            </w:tcBorders>
          </w:tcPr>
          <w:p w14:paraId="5A208A24" w14:textId="77777777"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14:paraId="2D606950" w14:textId="77777777" w:rsidR="0080749A" w:rsidRPr="001356F1" w:rsidRDefault="00AE07DD" w:rsidP="00EC2E5C">
            <w:r>
              <w:t>Support flourishing communities</w:t>
            </w:r>
            <w:r w:rsidR="00EC2E5C">
              <w:t>.</w:t>
            </w:r>
            <w:r>
              <w:t xml:space="preserve"> </w:t>
            </w:r>
          </w:p>
        </w:tc>
      </w:tr>
      <w:tr w:rsidR="00D5547E" w14:paraId="744034E1" w14:textId="77777777" w:rsidTr="00886AEF">
        <w:tc>
          <w:tcPr>
            <w:tcW w:w="2438" w:type="dxa"/>
            <w:tcBorders>
              <w:top w:val="nil"/>
              <w:left w:val="single" w:sz="8" w:space="0" w:color="000000"/>
              <w:bottom w:val="single" w:sz="4" w:space="0" w:color="auto"/>
              <w:right w:val="nil"/>
            </w:tcBorders>
            <w:hideMark/>
          </w:tcPr>
          <w:p w14:paraId="43317824" w14:textId="77777777" w:rsidR="00D5547E" w:rsidRDefault="00D5547E">
            <w:pPr>
              <w:rPr>
                <w:rStyle w:val="Firstpagetablebold"/>
              </w:rPr>
            </w:pPr>
            <w:r>
              <w:rPr>
                <w:rStyle w:val="Firstpagetablebold"/>
              </w:rPr>
              <w:t>Policy Framework:</w:t>
            </w:r>
          </w:p>
        </w:tc>
        <w:tc>
          <w:tcPr>
            <w:tcW w:w="6407" w:type="dxa"/>
            <w:tcBorders>
              <w:top w:val="nil"/>
              <w:left w:val="nil"/>
              <w:bottom w:val="single" w:sz="4" w:space="0" w:color="auto"/>
              <w:right w:val="single" w:sz="8" w:space="0" w:color="000000"/>
            </w:tcBorders>
            <w:hideMark/>
          </w:tcPr>
          <w:p w14:paraId="5BDACEE6" w14:textId="77777777" w:rsidR="00D5547E" w:rsidRPr="001356F1" w:rsidRDefault="00AE07DD" w:rsidP="005F7F7E">
            <w:r>
              <w:t>Council Strategy 2020-24</w:t>
            </w:r>
          </w:p>
        </w:tc>
      </w:tr>
    </w:tbl>
    <w:p w14:paraId="7DDE124D" w14:textId="77777777"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14:paraId="49935160" w14:textId="7777777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14:paraId="4B71032A" w14:textId="77777777" w:rsidR="00966D42" w:rsidRPr="00975B07" w:rsidRDefault="00966D42" w:rsidP="00263EA3">
            <w:pPr>
              <w:jc w:val="center"/>
            </w:pPr>
            <w:r w:rsidRPr="00745BF0">
              <w:rPr>
                <w:rStyle w:val="Firstpagetablebold"/>
              </w:rPr>
              <w:t>Appendices</w:t>
            </w:r>
          </w:p>
        </w:tc>
      </w:tr>
      <w:tr w:rsidR="00ED5860" w:rsidRPr="00975B07" w14:paraId="2A44E9AD" w14:textId="77777777" w:rsidTr="00A46E98">
        <w:tc>
          <w:tcPr>
            <w:tcW w:w="2438" w:type="dxa"/>
            <w:tcBorders>
              <w:top w:val="single" w:sz="8" w:space="0" w:color="000000"/>
              <w:left w:val="single" w:sz="8" w:space="0" w:color="000000"/>
              <w:bottom w:val="nil"/>
              <w:right w:val="nil"/>
            </w:tcBorders>
            <w:shd w:val="clear" w:color="auto" w:fill="auto"/>
          </w:tcPr>
          <w:p w14:paraId="33A5B807" w14:textId="77777777" w:rsidR="00ED5860" w:rsidRPr="00975B07" w:rsidRDefault="00ED5860" w:rsidP="004A6D2F">
            <w:r w:rsidRPr="00975B07">
              <w:t>Appendix 1</w:t>
            </w:r>
          </w:p>
        </w:tc>
        <w:tc>
          <w:tcPr>
            <w:tcW w:w="6406" w:type="dxa"/>
            <w:tcBorders>
              <w:top w:val="single" w:sz="8" w:space="0" w:color="000000"/>
              <w:left w:val="nil"/>
              <w:bottom w:val="nil"/>
              <w:right w:val="single" w:sz="8" w:space="0" w:color="000000"/>
            </w:tcBorders>
          </w:tcPr>
          <w:p w14:paraId="7791AA73" w14:textId="48CF5E9D" w:rsidR="00ED5860" w:rsidRPr="001356F1" w:rsidRDefault="00795989" w:rsidP="00886AEF">
            <w:r>
              <w:rPr>
                <w:rStyle w:val="Firstpagetablebold"/>
                <w:b w:val="0"/>
              </w:rPr>
              <w:t>Draft</w:t>
            </w:r>
            <w:r w:rsidR="003A6736">
              <w:rPr>
                <w:rStyle w:val="Firstpagetablebold"/>
                <w:b w:val="0"/>
              </w:rPr>
              <w:t xml:space="preserve"> </w:t>
            </w:r>
            <w:r w:rsidR="00886AEF">
              <w:rPr>
                <w:rStyle w:val="Firstpagetablebold"/>
                <w:b w:val="0"/>
              </w:rPr>
              <w:t>Parks</w:t>
            </w:r>
            <w:r w:rsidR="001D1D47">
              <w:rPr>
                <w:rStyle w:val="Firstpagetablebold"/>
                <w:b w:val="0"/>
              </w:rPr>
              <w:t xml:space="preserve"> Spaces Protection Order</w:t>
            </w:r>
          </w:p>
        </w:tc>
      </w:tr>
      <w:tr w:rsidR="00ED5860" w:rsidRPr="00975B07" w14:paraId="2C0A628E" w14:textId="77777777" w:rsidTr="00A46E98">
        <w:tc>
          <w:tcPr>
            <w:tcW w:w="2438" w:type="dxa"/>
            <w:tcBorders>
              <w:top w:val="nil"/>
              <w:left w:val="single" w:sz="8" w:space="0" w:color="000000"/>
              <w:bottom w:val="nil"/>
              <w:right w:val="nil"/>
            </w:tcBorders>
            <w:shd w:val="clear" w:color="auto" w:fill="auto"/>
          </w:tcPr>
          <w:p w14:paraId="30C55AE7" w14:textId="77777777" w:rsidR="00ED5860" w:rsidRPr="00886AEF" w:rsidRDefault="0030208D" w:rsidP="004A6D2F">
            <w:r w:rsidRPr="00886AEF">
              <w:t>Appendix 2</w:t>
            </w:r>
          </w:p>
        </w:tc>
        <w:tc>
          <w:tcPr>
            <w:tcW w:w="6406" w:type="dxa"/>
            <w:tcBorders>
              <w:top w:val="nil"/>
              <w:left w:val="nil"/>
              <w:bottom w:val="nil"/>
              <w:right w:val="single" w:sz="8" w:space="0" w:color="000000"/>
            </w:tcBorders>
          </w:tcPr>
          <w:p w14:paraId="1E3D2D95" w14:textId="10B269B0" w:rsidR="00ED5860" w:rsidRPr="00886AEF" w:rsidRDefault="00886AEF" w:rsidP="00D073FF">
            <w:r w:rsidRPr="00886AEF">
              <w:rPr>
                <w:rStyle w:val="Firstpagetablebold"/>
                <w:b w:val="0"/>
              </w:rPr>
              <w:t>Consultation results summary</w:t>
            </w:r>
          </w:p>
        </w:tc>
      </w:tr>
      <w:tr w:rsidR="003A6736" w:rsidRPr="00975B07" w14:paraId="075B5BE7" w14:textId="77777777" w:rsidTr="00A46E98">
        <w:tc>
          <w:tcPr>
            <w:tcW w:w="2438" w:type="dxa"/>
            <w:tcBorders>
              <w:top w:val="nil"/>
              <w:left w:val="single" w:sz="8" w:space="0" w:color="000000"/>
              <w:bottom w:val="nil"/>
              <w:right w:val="nil"/>
            </w:tcBorders>
            <w:shd w:val="clear" w:color="auto" w:fill="auto"/>
          </w:tcPr>
          <w:p w14:paraId="2573A89F" w14:textId="77777777" w:rsidR="003A6736" w:rsidRPr="00975B07" w:rsidRDefault="003A6736" w:rsidP="003A6736">
            <w:r w:rsidRPr="00975B07">
              <w:t>Appendix 3</w:t>
            </w:r>
          </w:p>
        </w:tc>
        <w:tc>
          <w:tcPr>
            <w:tcW w:w="6406" w:type="dxa"/>
            <w:tcBorders>
              <w:top w:val="nil"/>
              <w:left w:val="nil"/>
              <w:bottom w:val="nil"/>
              <w:right w:val="single" w:sz="8" w:space="0" w:color="000000"/>
            </w:tcBorders>
          </w:tcPr>
          <w:p w14:paraId="611896BB" w14:textId="77777777" w:rsidR="003A6736" w:rsidRDefault="003A6736" w:rsidP="003A6736">
            <w:r>
              <w:t>Legal considerations when making an Order</w:t>
            </w:r>
          </w:p>
        </w:tc>
      </w:tr>
      <w:tr w:rsidR="003A6736" w:rsidRPr="00975B07" w14:paraId="1BF6EB67" w14:textId="77777777" w:rsidTr="00A46E98">
        <w:tc>
          <w:tcPr>
            <w:tcW w:w="2438" w:type="dxa"/>
            <w:tcBorders>
              <w:top w:val="nil"/>
              <w:left w:val="single" w:sz="8" w:space="0" w:color="000000"/>
              <w:bottom w:val="nil"/>
              <w:right w:val="nil"/>
            </w:tcBorders>
            <w:shd w:val="clear" w:color="auto" w:fill="auto"/>
          </w:tcPr>
          <w:p w14:paraId="56E169D5" w14:textId="77777777" w:rsidR="003A6736" w:rsidRPr="00975B07" w:rsidRDefault="003A6736" w:rsidP="003A6736">
            <w:r w:rsidRPr="00975B07">
              <w:t>Appendix 4</w:t>
            </w:r>
          </w:p>
        </w:tc>
        <w:tc>
          <w:tcPr>
            <w:tcW w:w="6406" w:type="dxa"/>
            <w:tcBorders>
              <w:top w:val="nil"/>
              <w:left w:val="nil"/>
              <w:bottom w:val="nil"/>
              <w:right w:val="single" w:sz="8" w:space="0" w:color="000000"/>
            </w:tcBorders>
          </w:tcPr>
          <w:p w14:paraId="20A60412" w14:textId="2888A11F" w:rsidR="003A6736" w:rsidRPr="001356F1" w:rsidRDefault="00886AEF" w:rsidP="003A6736">
            <w:r>
              <w:t>Data assessment summary</w:t>
            </w:r>
          </w:p>
        </w:tc>
      </w:tr>
      <w:tr w:rsidR="003A6736" w:rsidRPr="00975B07" w14:paraId="1AC74CB9" w14:textId="77777777" w:rsidTr="001D1D47">
        <w:tc>
          <w:tcPr>
            <w:tcW w:w="2438" w:type="dxa"/>
            <w:tcBorders>
              <w:top w:val="nil"/>
              <w:left w:val="single" w:sz="8" w:space="0" w:color="000000"/>
              <w:bottom w:val="nil"/>
              <w:right w:val="nil"/>
            </w:tcBorders>
            <w:shd w:val="clear" w:color="auto" w:fill="auto"/>
          </w:tcPr>
          <w:p w14:paraId="6AB17F1E" w14:textId="77777777" w:rsidR="003A6736" w:rsidRPr="00975B07" w:rsidRDefault="003A6736" w:rsidP="003A6736">
            <w:r>
              <w:t>Appendix 5</w:t>
            </w:r>
          </w:p>
        </w:tc>
        <w:tc>
          <w:tcPr>
            <w:tcW w:w="6406" w:type="dxa"/>
            <w:tcBorders>
              <w:top w:val="nil"/>
              <w:left w:val="nil"/>
              <w:bottom w:val="nil"/>
              <w:right w:val="single" w:sz="8" w:space="0" w:color="000000"/>
            </w:tcBorders>
          </w:tcPr>
          <w:p w14:paraId="3666A4A6" w14:textId="2F04B817" w:rsidR="003A6736" w:rsidRPr="001356F1" w:rsidRDefault="00886AEF" w:rsidP="003A6736">
            <w:r>
              <w:t>ASB Tools and powers summary</w:t>
            </w:r>
          </w:p>
        </w:tc>
      </w:tr>
      <w:tr w:rsidR="003A6736" w:rsidRPr="00975B07" w14:paraId="76F3B69E" w14:textId="77777777" w:rsidTr="00886AEF">
        <w:tc>
          <w:tcPr>
            <w:tcW w:w="2438" w:type="dxa"/>
            <w:tcBorders>
              <w:top w:val="nil"/>
              <w:left w:val="single" w:sz="8" w:space="0" w:color="000000"/>
              <w:bottom w:val="nil"/>
              <w:right w:val="nil"/>
            </w:tcBorders>
            <w:shd w:val="clear" w:color="auto" w:fill="auto"/>
          </w:tcPr>
          <w:p w14:paraId="6AD71591" w14:textId="77777777" w:rsidR="003A6736" w:rsidRDefault="003A6736" w:rsidP="003A6736">
            <w:r>
              <w:t>Appendix 6</w:t>
            </w:r>
          </w:p>
        </w:tc>
        <w:tc>
          <w:tcPr>
            <w:tcW w:w="6406" w:type="dxa"/>
            <w:tcBorders>
              <w:top w:val="nil"/>
              <w:left w:val="nil"/>
              <w:bottom w:val="nil"/>
              <w:right w:val="single" w:sz="8" w:space="0" w:color="000000"/>
            </w:tcBorders>
          </w:tcPr>
          <w:p w14:paraId="58635D00" w14:textId="77777777" w:rsidR="003A6736" w:rsidRDefault="006F3DC5" w:rsidP="003A6736">
            <w:r>
              <w:t>Risk register</w:t>
            </w:r>
          </w:p>
        </w:tc>
      </w:tr>
      <w:tr w:rsidR="003A6736" w:rsidRPr="00975B07" w14:paraId="3214D726" w14:textId="77777777" w:rsidTr="00886AEF">
        <w:tc>
          <w:tcPr>
            <w:tcW w:w="2438" w:type="dxa"/>
            <w:tcBorders>
              <w:top w:val="nil"/>
              <w:left w:val="single" w:sz="8" w:space="0" w:color="000000"/>
              <w:bottom w:val="single" w:sz="4" w:space="0" w:color="auto"/>
              <w:right w:val="nil"/>
            </w:tcBorders>
            <w:shd w:val="clear" w:color="auto" w:fill="auto"/>
          </w:tcPr>
          <w:p w14:paraId="7EB1C1A2" w14:textId="77777777" w:rsidR="003A6736" w:rsidRDefault="003A6736" w:rsidP="003A6736">
            <w:r>
              <w:t>Appendix 7</w:t>
            </w:r>
          </w:p>
        </w:tc>
        <w:tc>
          <w:tcPr>
            <w:tcW w:w="6406" w:type="dxa"/>
            <w:tcBorders>
              <w:top w:val="nil"/>
              <w:left w:val="nil"/>
              <w:bottom w:val="single" w:sz="4" w:space="0" w:color="auto"/>
              <w:right w:val="single" w:sz="8" w:space="0" w:color="000000"/>
            </w:tcBorders>
          </w:tcPr>
          <w:p w14:paraId="045E55F9" w14:textId="0313BDD2" w:rsidR="003A6736" w:rsidRDefault="00886AEF" w:rsidP="003A6736">
            <w:r>
              <w:t>Equalities Impact Assessment</w:t>
            </w:r>
          </w:p>
        </w:tc>
      </w:tr>
    </w:tbl>
    <w:p w14:paraId="4342938E" w14:textId="77777777" w:rsidR="0040736F" w:rsidRPr="001356F1" w:rsidRDefault="00F66DCA" w:rsidP="004A6D2F">
      <w:pPr>
        <w:pStyle w:val="Heading1"/>
      </w:pPr>
      <w:r w:rsidRPr="001356F1">
        <w:t>Introduction and b</w:t>
      </w:r>
      <w:r w:rsidR="00151888" w:rsidRPr="001356F1">
        <w:t>ackground</w:t>
      </w:r>
      <w:r w:rsidR="00404032" w:rsidRPr="001356F1">
        <w:t xml:space="preserve"> </w:t>
      </w:r>
    </w:p>
    <w:p w14:paraId="6C238739" w14:textId="77777777" w:rsidR="001D1D47" w:rsidRDefault="001D1D47" w:rsidP="001B03FB">
      <w:pPr>
        <w:pStyle w:val="ListParagraph"/>
        <w:numPr>
          <w:ilvl w:val="0"/>
          <w:numId w:val="6"/>
        </w:numPr>
        <w:pBdr>
          <w:top w:val="nil"/>
          <w:left w:val="nil"/>
          <w:bottom w:val="nil"/>
          <w:right w:val="nil"/>
          <w:between w:val="nil"/>
          <w:bar w:val="nil"/>
        </w:pBdr>
      </w:pPr>
      <w:r>
        <w:t>Public Spaces Protectio</w:t>
      </w:r>
      <w:bookmarkStart w:id="0" w:name="_GoBack"/>
      <w:bookmarkEnd w:id="0"/>
      <w:r>
        <w:t>n Order</w:t>
      </w:r>
      <w:r w:rsidR="003D792F">
        <w:t>s</w:t>
      </w:r>
      <w:r w:rsidR="00AB440B">
        <w:t xml:space="preserve"> (PSPOs)</w:t>
      </w:r>
      <w:r w:rsidR="00AD085C">
        <w:t>,</w:t>
      </w:r>
      <w:r>
        <w:t xml:space="preserve"> as defined by </w:t>
      </w:r>
      <w:r w:rsidR="00C17BA3">
        <w:t>the Anti-Social Behaviour, Crime and Policing Act 2014 (the Act)</w:t>
      </w:r>
      <w:r>
        <w:t>, set out standards of acceptable behaviour in an area</w:t>
      </w:r>
      <w:r w:rsidR="00AD085C">
        <w:t xml:space="preserve"> to deter</w:t>
      </w:r>
      <w:r>
        <w:t xml:space="preserve"> those behaviours</w:t>
      </w:r>
      <w:r w:rsidR="003D792F">
        <w:t xml:space="preserve"> that have been</w:t>
      </w:r>
      <w:r>
        <w:t xml:space="preserve">, or </w:t>
      </w:r>
      <w:r w:rsidR="003D792F">
        <w:t xml:space="preserve">are </w:t>
      </w:r>
      <w:r>
        <w:t>likely to be, detrimental, persistent and unreasonable to those in the area.  Therefore, a PSPO</w:t>
      </w:r>
      <w:r w:rsidR="00AE44DE">
        <w:t>’</w:t>
      </w:r>
      <w:r>
        <w:t>s primary purpose, similar to a byelaw, is to prevent anti-social behaviour from occurring</w:t>
      </w:r>
      <w:r w:rsidR="003D792F">
        <w:t xml:space="preserve"> and reduce the detrimental effe</w:t>
      </w:r>
      <w:r w:rsidR="00AB440B">
        <w:t>ct on those living in the area.</w:t>
      </w:r>
    </w:p>
    <w:p w14:paraId="45B91012" w14:textId="4A451F0C" w:rsidR="00795989" w:rsidRDefault="00445FC5" w:rsidP="001B03FB">
      <w:pPr>
        <w:pStyle w:val="ListParagraph"/>
        <w:numPr>
          <w:ilvl w:val="0"/>
          <w:numId w:val="6"/>
        </w:numPr>
        <w:pBdr>
          <w:top w:val="nil"/>
          <w:left w:val="nil"/>
          <w:bottom w:val="nil"/>
          <w:right w:val="nil"/>
          <w:between w:val="nil"/>
          <w:bar w:val="nil"/>
        </w:pBdr>
      </w:pPr>
      <w:r>
        <w:lastRenderedPageBreak/>
        <w:t xml:space="preserve">Oxford City Council </w:t>
      </w:r>
      <w:r w:rsidR="00795989">
        <w:t xml:space="preserve">is considering whether to introduce a Parks PSPO to address the damage </w:t>
      </w:r>
      <w:r w:rsidR="00AC6C4E">
        <w:t>and destruction of habitat caused</w:t>
      </w:r>
      <w:r w:rsidR="00795989">
        <w:t xml:space="preserve"> by fires and barbeques in some parks and green spaces in the city.</w:t>
      </w:r>
    </w:p>
    <w:p w14:paraId="2A079157" w14:textId="42AB571B" w:rsidR="00445FC5" w:rsidRDefault="00795989" w:rsidP="001B03FB">
      <w:pPr>
        <w:pStyle w:val="ListParagraph"/>
        <w:numPr>
          <w:ilvl w:val="0"/>
          <w:numId w:val="6"/>
        </w:numPr>
        <w:pBdr>
          <w:top w:val="nil"/>
          <w:left w:val="nil"/>
          <w:bottom w:val="nil"/>
          <w:right w:val="nil"/>
          <w:between w:val="nil"/>
          <w:bar w:val="nil"/>
        </w:pBdr>
      </w:pPr>
      <w:r>
        <w:t xml:space="preserve">Data supplied by Oxfordshire Fire and Rescue Service identified four areas with higher levels of secondary fire call-outs.  These were South Park, Angel and Greyhound Meadow, </w:t>
      </w:r>
      <w:proofErr w:type="spellStart"/>
      <w:r>
        <w:t>Rivermead</w:t>
      </w:r>
      <w:proofErr w:type="spellEnd"/>
      <w:r>
        <w:t xml:space="preserve"> Nature Reserve and Port Meadow/</w:t>
      </w:r>
      <w:proofErr w:type="spellStart"/>
      <w:r>
        <w:t>Wolvercote</w:t>
      </w:r>
      <w:proofErr w:type="spellEnd"/>
      <w:r>
        <w:t xml:space="preserve"> Common/Burgess Field.</w:t>
      </w:r>
      <w:r w:rsidR="00445FC5" w:rsidRPr="00445FC5">
        <w:t xml:space="preserve"> </w:t>
      </w:r>
    </w:p>
    <w:p w14:paraId="143DF78F" w14:textId="0D236A49" w:rsidR="00795989" w:rsidRDefault="00795989" w:rsidP="001B03FB">
      <w:pPr>
        <w:pStyle w:val="ListParagraph"/>
        <w:numPr>
          <w:ilvl w:val="0"/>
          <w:numId w:val="6"/>
        </w:numPr>
        <w:pBdr>
          <w:top w:val="nil"/>
          <w:left w:val="nil"/>
          <w:bottom w:val="nil"/>
          <w:right w:val="nil"/>
          <w:between w:val="nil"/>
          <w:bar w:val="nil"/>
        </w:pBdr>
      </w:pPr>
      <w:r>
        <w:t>A consultation survey ran from 6</w:t>
      </w:r>
      <w:r w:rsidRPr="00795989">
        <w:rPr>
          <w:vertAlign w:val="superscript"/>
        </w:rPr>
        <w:t>th</w:t>
      </w:r>
      <w:r>
        <w:t xml:space="preserve"> to 28</w:t>
      </w:r>
      <w:r w:rsidRPr="00795989">
        <w:rPr>
          <w:vertAlign w:val="superscript"/>
        </w:rPr>
        <w:t>th</w:t>
      </w:r>
      <w:r>
        <w:t xml:space="preserve"> June 2021.  The results can be found in Appen</w:t>
      </w:r>
      <w:r w:rsidR="00E1170C">
        <w:t xml:space="preserve">dix 2.  </w:t>
      </w:r>
    </w:p>
    <w:p w14:paraId="22B12F4A" w14:textId="43AEB863" w:rsidR="00E1170C" w:rsidRDefault="00E1170C" w:rsidP="001B03FB">
      <w:pPr>
        <w:pStyle w:val="ListParagraph"/>
        <w:numPr>
          <w:ilvl w:val="0"/>
          <w:numId w:val="6"/>
        </w:numPr>
        <w:pBdr>
          <w:top w:val="nil"/>
          <w:left w:val="nil"/>
          <w:bottom w:val="nil"/>
          <w:right w:val="nil"/>
          <w:between w:val="nil"/>
          <w:bar w:val="nil"/>
        </w:pBdr>
      </w:pPr>
      <w:r>
        <w:t xml:space="preserve">Respondents feedback strongly identified the link between log fire and barbeques with discarded litter which can be dangerous to people and animals.  Others reflected on the need to have barbeque facilities in popular areas to help minimise damage and provide outdoor </w:t>
      </w:r>
      <w:r w:rsidR="00DC6ACD">
        <w:t>experiences for those without gardens.</w:t>
      </w:r>
    </w:p>
    <w:p w14:paraId="23D9E8B7" w14:textId="77777777" w:rsidR="009B410C" w:rsidRPr="00445FC5" w:rsidRDefault="007A251B" w:rsidP="009B410C">
      <w:pPr>
        <w:pBdr>
          <w:top w:val="nil"/>
          <w:left w:val="nil"/>
          <w:bottom w:val="nil"/>
          <w:right w:val="nil"/>
          <w:between w:val="nil"/>
          <w:bar w:val="nil"/>
        </w:pBdr>
        <w:rPr>
          <w:b/>
        </w:rPr>
      </w:pPr>
      <w:r>
        <w:rPr>
          <w:b/>
        </w:rPr>
        <w:t>Overview of</w:t>
      </w:r>
      <w:r w:rsidR="00445FC5">
        <w:rPr>
          <w:b/>
        </w:rPr>
        <w:t xml:space="preserve"> </w:t>
      </w:r>
      <w:r w:rsidR="009B410C" w:rsidRPr="00445FC5">
        <w:rPr>
          <w:b/>
        </w:rPr>
        <w:t>PSPO</w:t>
      </w:r>
      <w:r w:rsidR="00445FC5">
        <w:rPr>
          <w:b/>
        </w:rPr>
        <w:t>s</w:t>
      </w:r>
    </w:p>
    <w:p w14:paraId="79C17F8E" w14:textId="77777777" w:rsidR="00445FC5" w:rsidRPr="00445FC5" w:rsidRDefault="00445FC5" w:rsidP="001B03FB">
      <w:pPr>
        <w:pStyle w:val="ListParagraph"/>
        <w:numPr>
          <w:ilvl w:val="0"/>
          <w:numId w:val="6"/>
        </w:numPr>
        <w:pBdr>
          <w:top w:val="nil"/>
          <w:left w:val="nil"/>
          <w:bottom w:val="nil"/>
          <w:right w:val="nil"/>
          <w:between w:val="nil"/>
          <w:bar w:val="nil"/>
        </w:pBdr>
      </w:pPr>
      <w:r w:rsidRPr="00445FC5">
        <w:t>The Anti-Social Behaviour, Crime and Policing Act 2014 (‘the Act’) gai</w:t>
      </w:r>
      <w:r w:rsidR="008C7724">
        <w:t>ned Royal Assent in April 2014 and gives t</w:t>
      </w:r>
      <w:r w:rsidRPr="00445FC5">
        <w:t xml:space="preserve">he power to make an Order </w:t>
      </w:r>
      <w:r w:rsidR="008C7724">
        <w:t>to</w:t>
      </w:r>
      <w:r w:rsidRPr="00445FC5">
        <w:t xml:space="preserve"> local authorities, in consultation with the police and other relevant bodies who may be affected.</w:t>
      </w:r>
    </w:p>
    <w:p w14:paraId="0F476AF1" w14:textId="77777777" w:rsidR="00445FC5" w:rsidRPr="00445FC5" w:rsidRDefault="00445FC5" w:rsidP="001B03FB">
      <w:pPr>
        <w:pStyle w:val="ListParagraph"/>
        <w:numPr>
          <w:ilvl w:val="0"/>
          <w:numId w:val="6"/>
        </w:numPr>
        <w:pBdr>
          <w:top w:val="nil"/>
          <w:left w:val="nil"/>
          <w:bottom w:val="nil"/>
          <w:right w:val="nil"/>
          <w:between w:val="nil"/>
          <w:bar w:val="nil"/>
        </w:pBdr>
      </w:pPr>
      <w:r w:rsidRPr="00445FC5">
        <w:t xml:space="preserve">A local authority can make a PSPO in respect of any public space within its administrative boundary. The definition of public space is wide and includes any place to which the public or any section of the public has access, on payment or otherwise, as of right or by virtue of express or implied permission. </w:t>
      </w:r>
    </w:p>
    <w:p w14:paraId="41DE58DF" w14:textId="3CE4758E" w:rsidR="00445FC5" w:rsidRPr="00445FC5" w:rsidRDefault="00445FC5" w:rsidP="001B03FB">
      <w:pPr>
        <w:pStyle w:val="ListParagraph"/>
        <w:numPr>
          <w:ilvl w:val="0"/>
          <w:numId w:val="6"/>
        </w:numPr>
        <w:pBdr>
          <w:top w:val="nil"/>
          <w:left w:val="nil"/>
          <w:bottom w:val="nil"/>
          <w:right w:val="nil"/>
          <w:between w:val="nil"/>
          <w:bar w:val="nil"/>
        </w:pBdr>
      </w:pPr>
      <w:r w:rsidRPr="00445FC5">
        <w:t>A PSPO can be in force for any period up to a maximum of three years.</w:t>
      </w:r>
      <w:r w:rsidR="007A251B">
        <w:t xml:space="preserve">  The </w:t>
      </w:r>
      <w:r w:rsidR="003D792F">
        <w:t>legal requirements of</w:t>
      </w:r>
      <w:r w:rsidR="007A251B">
        <w:t xml:space="preserve"> implementing a PSPO </w:t>
      </w:r>
      <w:r w:rsidR="00AE44DE">
        <w:t>are</w:t>
      </w:r>
      <w:r w:rsidR="007A251B">
        <w:t xml:space="preserve"> described in Appendix 3.</w:t>
      </w:r>
    </w:p>
    <w:p w14:paraId="5F5D2BD7" w14:textId="237E8C8C" w:rsidR="005D5010" w:rsidRDefault="005D5010" w:rsidP="001B03FB">
      <w:pPr>
        <w:pStyle w:val="ListParagraph"/>
        <w:numPr>
          <w:ilvl w:val="0"/>
          <w:numId w:val="6"/>
        </w:numPr>
        <w:pBdr>
          <w:top w:val="nil"/>
          <w:left w:val="nil"/>
          <w:bottom w:val="nil"/>
          <w:right w:val="nil"/>
          <w:between w:val="nil"/>
          <w:bar w:val="nil"/>
        </w:pBdr>
      </w:pPr>
      <w:r>
        <w:t xml:space="preserve">The PSPOs are enforced by authorised officers within the Council or police officers.  Oxford City Council </w:t>
      </w:r>
      <w:r w:rsidR="00AE44DE">
        <w:t>is</w:t>
      </w:r>
      <w:r>
        <w:t xml:space="preserve"> the prosecuting authority.</w:t>
      </w:r>
    </w:p>
    <w:p w14:paraId="1467C28E" w14:textId="7B0AF207" w:rsidR="00445FC5" w:rsidRDefault="00445FC5" w:rsidP="001B03FB">
      <w:pPr>
        <w:pStyle w:val="ListParagraph"/>
        <w:numPr>
          <w:ilvl w:val="0"/>
          <w:numId w:val="6"/>
        </w:numPr>
        <w:pBdr>
          <w:top w:val="nil"/>
          <w:left w:val="nil"/>
          <w:bottom w:val="nil"/>
          <w:right w:val="nil"/>
          <w:between w:val="nil"/>
          <w:bar w:val="nil"/>
        </w:pBdr>
      </w:pPr>
      <w:r w:rsidRPr="00445FC5">
        <w:t xml:space="preserve">A breach of </w:t>
      </w:r>
      <w:r w:rsidR="00795989">
        <w:t>a Parks</w:t>
      </w:r>
      <w:r w:rsidR="005D5010">
        <w:t xml:space="preserve"> </w:t>
      </w:r>
      <w:r w:rsidRPr="00445FC5">
        <w:t>PSPO can be dealt with through the issuing of a Fixed Penalty Notice of up to £100, or a level 3 fine of up to £1000</w:t>
      </w:r>
      <w:r w:rsidR="003D792F">
        <w:t xml:space="preserve"> on conviction following prosecution. </w:t>
      </w:r>
    </w:p>
    <w:p w14:paraId="62125930" w14:textId="0278BA33" w:rsidR="007A251B" w:rsidRDefault="007A251B" w:rsidP="001B03FB">
      <w:pPr>
        <w:pStyle w:val="ListParagraph"/>
        <w:numPr>
          <w:ilvl w:val="0"/>
          <w:numId w:val="6"/>
        </w:numPr>
        <w:pBdr>
          <w:top w:val="nil"/>
          <w:left w:val="nil"/>
          <w:bottom w:val="nil"/>
          <w:right w:val="nil"/>
          <w:between w:val="nil"/>
          <w:bar w:val="nil"/>
        </w:pBdr>
      </w:pPr>
      <w:r>
        <w:t>The Council has a graduated approach to enforcement that is set out in the Anti-social Behaviour Enforcement Policy. Other legal reme</w:t>
      </w:r>
      <w:r w:rsidR="00C97FDC">
        <w:t>dies are described in Appendix 5</w:t>
      </w:r>
      <w:r>
        <w:t>.</w:t>
      </w:r>
    </w:p>
    <w:p w14:paraId="74F45FF9" w14:textId="51183D75" w:rsidR="00445FC5" w:rsidRPr="00445FC5" w:rsidRDefault="00445FC5" w:rsidP="001B03FB">
      <w:pPr>
        <w:pStyle w:val="ListParagraph"/>
        <w:numPr>
          <w:ilvl w:val="0"/>
          <w:numId w:val="6"/>
        </w:numPr>
        <w:pBdr>
          <w:top w:val="nil"/>
          <w:left w:val="nil"/>
          <w:bottom w:val="nil"/>
          <w:right w:val="nil"/>
          <w:between w:val="nil"/>
          <w:bar w:val="nil"/>
        </w:pBdr>
      </w:pPr>
      <w:r w:rsidRPr="00445FC5">
        <w:t xml:space="preserve">The </w:t>
      </w:r>
      <w:r w:rsidR="00C97FDC">
        <w:t>Council</w:t>
      </w:r>
      <w:r w:rsidRPr="00445FC5">
        <w:t xml:space="preserve"> is also bound by the terms of the Human Rights Act 1998 and must not act in a way which is incompatible with a Convention right. Human rights are enforced through existing rights of review and may therefore be taken as points in any challenge to the validity of any Order made by the Authority.</w:t>
      </w:r>
    </w:p>
    <w:p w14:paraId="5E12D5FB" w14:textId="242400C3" w:rsidR="00445FC5" w:rsidRDefault="00445FC5" w:rsidP="001B03FB">
      <w:pPr>
        <w:pStyle w:val="ListParagraph"/>
        <w:numPr>
          <w:ilvl w:val="0"/>
          <w:numId w:val="6"/>
        </w:numPr>
        <w:pBdr>
          <w:top w:val="nil"/>
          <w:left w:val="nil"/>
          <w:bottom w:val="nil"/>
          <w:right w:val="nil"/>
          <w:between w:val="nil"/>
          <w:bar w:val="nil"/>
        </w:pBdr>
      </w:pPr>
      <w:r w:rsidRPr="00445FC5">
        <w:t xml:space="preserve">The </w:t>
      </w:r>
      <w:r w:rsidR="00795989">
        <w:t>Council</w:t>
      </w:r>
      <w:r w:rsidRPr="00445FC5">
        <w:t xml:space="preserve"> must have regard to the public sector equality duty at s149 of the Equality Act 2010</w:t>
      </w:r>
      <w:r>
        <w:t xml:space="preserve"> as set out in the Equality Impact Assessment</w:t>
      </w:r>
      <w:r w:rsidR="007A251B">
        <w:t>s (Appendices 10 and 11</w:t>
      </w:r>
      <w:r>
        <w:t>).</w:t>
      </w:r>
      <w:r w:rsidRPr="00445FC5">
        <w:t xml:space="preserve"> </w:t>
      </w:r>
    </w:p>
    <w:p w14:paraId="2B8413EB" w14:textId="6C6570B7" w:rsidR="001D1D47" w:rsidRPr="001D1D47" w:rsidRDefault="00795989" w:rsidP="00E0034C">
      <w:pPr>
        <w:pBdr>
          <w:top w:val="nil"/>
          <w:left w:val="nil"/>
          <w:bottom w:val="nil"/>
          <w:right w:val="nil"/>
          <w:between w:val="nil"/>
          <w:bar w:val="nil"/>
        </w:pBdr>
        <w:spacing w:before="120"/>
        <w:rPr>
          <w:b/>
        </w:rPr>
      </w:pPr>
      <w:r>
        <w:rPr>
          <w:b/>
        </w:rPr>
        <w:t>South Park</w:t>
      </w:r>
    </w:p>
    <w:p w14:paraId="5A2DBDA9" w14:textId="23EE1F5D" w:rsidR="00313FBA" w:rsidRDefault="00E1170C" w:rsidP="001B03FB">
      <w:pPr>
        <w:pStyle w:val="ListParagraph"/>
        <w:numPr>
          <w:ilvl w:val="0"/>
          <w:numId w:val="6"/>
        </w:numPr>
        <w:pBdr>
          <w:top w:val="nil"/>
          <w:left w:val="nil"/>
          <w:bottom w:val="nil"/>
          <w:right w:val="nil"/>
          <w:between w:val="nil"/>
          <w:bar w:val="nil"/>
        </w:pBdr>
      </w:pPr>
      <w:r>
        <w:t>South Park is</w:t>
      </w:r>
      <w:r w:rsidR="00BD48B9">
        <w:t xml:space="preserve"> a historic parkland landscape with listed medieval and Civil War earthworks. The site is held under covenant by the Oxford Preservation Trust and managed by the City Council.  </w:t>
      </w:r>
      <w:r w:rsidR="00DC6ACD">
        <w:t>S</w:t>
      </w:r>
      <w:r>
        <w:t xml:space="preserve">ummer of 2020 </w:t>
      </w:r>
      <w:r w:rsidR="00DC6ACD">
        <w:t>saw</w:t>
      </w:r>
      <w:r>
        <w:t xml:space="preserve"> an increase in the use of the park due to the warm weather and social distancing restrictions.  </w:t>
      </w:r>
      <w:r w:rsidR="00C97FDC">
        <w:t xml:space="preserve">It is popular with local residents, students and families.  </w:t>
      </w:r>
    </w:p>
    <w:p w14:paraId="60C01E77" w14:textId="554167F5" w:rsidR="00E1170C" w:rsidRDefault="00E1170C" w:rsidP="001B03FB">
      <w:pPr>
        <w:pStyle w:val="ListParagraph"/>
        <w:numPr>
          <w:ilvl w:val="0"/>
          <w:numId w:val="6"/>
        </w:numPr>
        <w:pBdr>
          <w:top w:val="nil"/>
          <w:left w:val="nil"/>
          <w:bottom w:val="nil"/>
          <w:right w:val="nil"/>
          <w:between w:val="nil"/>
          <w:bar w:val="nil"/>
        </w:pBdr>
      </w:pPr>
      <w:r>
        <w:lastRenderedPageBreak/>
        <w:t xml:space="preserve">Fire damage from bonfires and barbeques can be </w:t>
      </w:r>
      <w:r w:rsidR="00DC6ACD">
        <w:t>seen</w:t>
      </w:r>
      <w:r>
        <w:t xml:space="preserve"> predominantly at the top of the park.  Photos illustrating the damage can be found in Appendix 4.  There are no facilities for barbeques in the park.</w:t>
      </w:r>
    </w:p>
    <w:p w14:paraId="27D1F388" w14:textId="6C8B6144" w:rsidR="007A251B" w:rsidRDefault="0048554F" w:rsidP="001B03FB">
      <w:pPr>
        <w:pStyle w:val="ListParagraph"/>
        <w:numPr>
          <w:ilvl w:val="0"/>
          <w:numId w:val="6"/>
        </w:numPr>
        <w:pBdr>
          <w:top w:val="nil"/>
          <w:left w:val="nil"/>
          <w:bottom w:val="nil"/>
          <w:right w:val="nil"/>
          <w:between w:val="nil"/>
          <w:bar w:val="nil"/>
        </w:pBdr>
      </w:pPr>
      <w:r>
        <w:t>Consultation resp</w:t>
      </w:r>
      <w:r w:rsidR="007A251B">
        <w:t xml:space="preserve">onses can be found in Appendix </w:t>
      </w:r>
      <w:r w:rsidR="00DC6ACD">
        <w:t>2</w:t>
      </w:r>
      <w:r>
        <w:t>.  In summary</w:t>
      </w:r>
      <w:r w:rsidR="007A251B">
        <w:t>:</w:t>
      </w:r>
    </w:p>
    <w:p w14:paraId="4454FAAC" w14:textId="1DEF2E7F" w:rsidR="00EB0C36" w:rsidRDefault="00EB0C36" w:rsidP="00EB0C36">
      <w:pPr>
        <w:pStyle w:val="ListParagraph"/>
        <w:numPr>
          <w:ilvl w:val="1"/>
          <w:numId w:val="8"/>
        </w:numPr>
        <w:tabs>
          <w:tab w:val="clear" w:pos="426"/>
        </w:tabs>
        <w:autoSpaceDE w:val="0"/>
        <w:autoSpaceDN w:val="0"/>
        <w:adjustRightInd w:val="0"/>
        <w:spacing w:after="0"/>
        <w:contextualSpacing/>
        <w:rPr>
          <w:rFonts w:cs="Arial"/>
        </w:rPr>
      </w:pPr>
      <w:r>
        <w:rPr>
          <w:rFonts w:cs="Arial"/>
        </w:rPr>
        <w:t>60% of respondents completed these questions</w:t>
      </w:r>
    </w:p>
    <w:p w14:paraId="3C787AE7" w14:textId="4FA9E92E" w:rsidR="007A251B" w:rsidRDefault="00DC6ACD" w:rsidP="001B03FB">
      <w:pPr>
        <w:pStyle w:val="ListParagraph"/>
        <w:numPr>
          <w:ilvl w:val="1"/>
          <w:numId w:val="8"/>
        </w:numPr>
        <w:tabs>
          <w:tab w:val="clear" w:pos="426"/>
        </w:tabs>
        <w:autoSpaceDE w:val="0"/>
        <w:autoSpaceDN w:val="0"/>
        <w:adjustRightInd w:val="0"/>
        <w:spacing w:after="0"/>
        <w:contextualSpacing/>
        <w:rPr>
          <w:rFonts w:cs="Arial"/>
        </w:rPr>
      </w:pPr>
      <w:r>
        <w:rPr>
          <w:rFonts w:cs="Arial"/>
        </w:rPr>
        <w:t>Over three-quarters of respondents who expressed an opinion felt log fires and barbeques on the ground were a problem, with a similar proportion stating it had got worse over the last 12 months.</w:t>
      </w:r>
    </w:p>
    <w:p w14:paraId="0FE824C5" w14:textId="7893FD99" w:rsidR="00DC6ACD" w:rsidRPr="00295F6D" w:rsidRDefault="00DC6ACD" w:rsidP="001B03FB">
      <w:pPr>
        <w:pStyle w:val="ListParagraph"/>
        <w:numPr>
          <w:ilvl w:val="1"/>
          <w:numId w:val="8"/>
        </w:numPr>
        <w:tabs>
          <w:tab w:val="clear" w:pos="426"/>
        </w:tabs>
        <w:autoSpaceDE w:val="0"/>
        <w:autoSpaceDN w:val="0"/>
        <w:adjustRightInd w:val="0"/>
        <w:spacing w:after="0"/>
        <w:contextualSpacing/>
        <w:rPr>
          <w:rFonts w:cs="Arial"/>
        </w:rPr>
      </w:pPr>
      <w:r>
        <w:rPr>
          <w:rFonts w:cs="Arial"/>
        </w:rPr>
        <w:t>50% of respondents felt that barbeques on a stand were a problem.</w:t>
      </w:r>
    </w:p>
    <w:p w14:paraId="2FC71B5B" w14:textId="1B10A370" w:rsidR="001D1D47" w:rsidRPr="00D073FF" w:rsidRDefault="00DC6ACD" w:rsidP="00E0034C">
      <w:pPr>
        <w:pBdr>
          <w:top w:val="nil"/>
          <w:left w:val="nil"/>
          <w:bottom w:val="nil"/>
          <w:right w:val="nil"/>
          <w:between w:val="nil"/>
          <w:bar w:val="nil"/>
        </w:pBdr>
        <w:spacing w:before="120"/>
        <w:rPr>
          <w:b/>
        </w:rPr>
      </w:pPr>
      <w:r>
        <w:rPr>
          <w:b/>
        </w:rPr>
        <w:t>Angel and Greyhound Meadow</w:t>
      </w:r>
    </w:p>
    <w:p w14:paraId="1869424C" w14:textId="378C2729" w:rsidR="00626BEE" w:rsidRDefault="00626BEE" w:rsidP="00626BEE">
      <w:pPr>
        <w:pStyle w:val="ListParagraph"/>
        <w:numPr>
          <w:ilvl w:val="0"/>
          <w:numId w:val="6"/>
        </w:numPr>
        <w:pBdr>
          <w:top w:val="nil"/>
          <w:left w:val="nil"/>
          <w:bottom w:val="nil"/>
          <w:right w:val="nil"/>
          <w:between w:val="nil"/>
          <w:bar w:val="nil"/>
        </w:pBdr>
      </w:pPr>
      <w:r>
        <w:t xml:space="preserve">Angel and Greyhound Meadow is owned by Magdalen College and managed by Oxford </w:t>
      </w:r>
      <w:r w:rsidR="00631E71">
        <w:t xml:space="preserve">Direct Services </w:t>
      </w:r>
      <w:r>
        <w:t xml:space="preserve">as a publicly accessible green space.  It contains a play park and is popular with dog walkers and families.  </w:t>
      </w:r>
    </w:p>
    <w:p w14:paraId="19211343" w14:textId="5D61A234" w:rsidR="00626BEE" w:rsidRDefault="00626BEE" w:rsidP="00626BEE">
      <w:pPr>
        <w:pStyle w:val="ListParagraph"/>
        <w:numPr>
          <w:ilvl w:val="0"/>
          <w:numId w:val="6"/>
        </w:numPr>
        <w:pBdr>
          <w:top w:val="nil"/>
          <w:left w:val="nil"/>
          <w:bottom w:val="nil"/>
          <w:right w:val="nil"/>
          <w:between w:val="nil"/>
          <w:bar w:val="nil"/>
        </w:pBdr>
      </w:pPr>
      <w:r>
        <w:t>Fire damage from bonfires and barbeques can be found in the wooded parts of the meadow.  Photos illustrating the damage can be found in Appendix 4.  There are no facilities for barbeques in the meadow.</w:t>
      </w:r>
    </w:p>
    <w:p w14:paraId="24ECA6EA" w14:textId="77777777" w:rsidR="00626BEE" w:rsidRDefault="00626BEE" w:rsidP="00626BEE">
      <w:pPr>
        <w:pStyle w:val="ListParagraph"/>
        <w:numPr>
          <w:ilvl w:val="0"/>
          <w:numId w:val="6"/>
        </w:numPr>
        <w:pBdr>
          <w:top w:val="nil"/>
          <w:left w:val="nil"/>
          <w:bottom w:val="nil"/>
          <w:right w:val="nil"/>
          <w:between w:val="nil"/>
          <w:bar w:val="nil"/>
        </w:pBdr>
      </w:pPr>
      <w:r>
        <w:t>Consultation responses can be found in Appendix 2.  In summary:</w:t>
      </w:r>
    </w:p>
    <w:p w14:paraId="0093E215" w14:textId="77777777" w:rsidR="00EB0C36" w:rsidRDefault="00EB0C36" w:rsidP="00EB0C36">
      <w:pPr>
        <w:pStyle w:val="ListParagraph"/>
        <w:numPr>
          <w:ilvl w:val="1"/>
          <w:numId w:val="8"/>
        </w:numPr>
        <w:tabs>
          <w:tab w:val="clear" w:pos="426"/>
        </w:tabs>
        <w:autoSpaceDE w:val="0"/>
        <w:autoSpaceDN w:val="0"/>
        <w:adjustRightInd w:val="0"/>
        <w:spacing w:after="0"/>
        <w:contextualSpacing/>
        <w:rPr>
          <w:rFonts w:cs="Arial"/>
        </w:rPr>
      </w:pPr>
      <w:r>
        <w:rPr>
          <w:rFonts w:cs="Arial"/>
        </w:rPr>
        <w:t>26% of respondents completed these questions</w:t>
      </w:r>
    </w:p>
    <w:p w14:paraId="25CC33FA" w14:textId="515079DF" w:rsidR="00626BEE" w:rsidRDefault="00626BEE" w:rsidP="00626BEE">
      <w:pPr>
        <w:pStyle w:val="ListParagraph"/>
        <w:numPr>
          <w:ilvl w:val="1"/>
          <w:numId w:val="8"/>
        </w:numPr>
        <w:tabs>
          <w:tab w:val="clear" w:pos="426"/>
        </w:tabs>
        <w:autoSpaceDE w:val="0"/>
        <w:autoSpaceDN w:val="0"/>
        <w:adjustRightInd w:val="0"/>
        <w:spacing w:after="0"/>
        <w:contextualSpacing/>
        <w:rPr>
          <w:rFonts w:cs="Arial"/>
        </w:rPr>
      </w:pPr>
      <w:r>
        <w:rPr>
          <w:rFonts w:cs="Arial"/>
        </w:rPr>
        <w:t xml:space="preserve">Over three-quarters of respondents who expressed an opinion felt log fires and barbeques on the ground were a problem, with </w:t>
      </w:r>
      <w:r w:rsidR="00373698">
        <w:rPr>
          <w:rFonts w:cs="Arial"/>
        </w:rPr>
        <w:t xml:space="preserve">just under three-quarters of respondents </w:t>
      </w:r>
      <w:r>
        <w:rPr>
          <w:rFonts w:cs="Arial"/>
        </w:rPr>
        <w:t>stating it had got worse over the last 12 months.</w:t>
      </w:r>
    </w:p>
    <w:p w14:paraId="3CB0339C" w14:textId="11E171FF" w:rsidR="00373698" w:rsidRPr="00E0034C" w:rsidRDefault="00626BEE" w:rsidP="00E0034C">
      <w:pPr>
        <w:pStyle w:val="ListParagraph"/>
        <w:numPr>
          <w:ilvl w:val="1"/>
          <w:numId w:val="8"/>
        </w:numPr>
        <w:tabs>
          <w:tab w:val="clear" w:pos="426"/>
        </w:tabs>
        <w:autoSpaceDE w:val="0"/>
        <w:autoSpaceDN w:val="0"/>
        <w:adjustRightInd w:val="0"/>
        <w:spacing w:after="0"/>
        <w:contextualSpacing/>
        <w:rPr>
          <w:rFonts w:cs="Arial"/>
        </w:rPr>
      </w:pPr>
      <w:r>
        <w:rPr>
          <w:rFonts w:cs="Arial"/>
        </w:rPr>
        <w:t>5</w:t>
      </w:r>
      <w:r w:rsidR="00373698">
        <w:rPr>
          <w:rFonts w:cs="Arial"/>
        </w:rPr>
        <w:t>4</w:t>
      </w:r>
      <w:r>
        <w:rPr>
          <w:rFonts w:cs="Arial"/>
        </w:rPr>
        <w:t>% of respondents felt that barbeques on a stand were a problem.</w:t>
      </w:r>
    </w:p>
    <w:p w14:paraId="10DF098C" w14:textId="15E8E649" w:rsidR="00E0034C" w:rsidRPr="00D073FF" w:rsidRDefault="00EB0C36" w:rsidP="00E0034C">
      <w:pPr>
        <w:pBdr>
          <w:top w:val="nil"/>
          <w:left w:val="nil"/>
          <w:bottom w:val="nil"/>
          <w:right w:val="nil"/>
          <w:between w:val="nil"/>
          <w:bar w:val="nil"/>
        </w:pBdr>
        <w:spacing w:before="120"/>
        <w:rPr>
          <w:b/>
        </w:rPr>
      </w:pPr>
      <w:proofErr w:type="spellStart"/>
      <w:r>
        <w:rPr>
          <w:b/>
        </w:rPr>
        <w:t>Rivermead</w:t>
      </w:r>
      <w:proofErr w:type="spellEnd"/>
      <w:r>
        <w:rPr>
          <w:b/>
        </w:rPr>
        <w:t xml:space="preserve"> Nature Reserve</w:t>
      </w:r>
    </w:p>
    <w:p w14:paraId="577E0564" w14:textId="24B79FA0" w:rsidR="00E0034C" w:rsidRDefault="00EB0C36" w:rsidP="00E0034C">
      <w:pPr>
        <w:pStyle w:val="ListParagraph"/>
        <w:numPr>
          <w:ilvl w:val="0"/>
          <w:numId w:val="6"/>
        </w:numPr>
        <w:pBdr>
          <w:top w:val="nil"/>
          <w:left w:val="nil"/>
          <w:bottom w:val="nil"/>
          <w:right w:val="nil"/>
          <w:between w:val="nil"/>
          <w:bar w:val="nil"/>
        </w:pBdr>
      </w:pPr>
      <w:proofErr w:type="spellStart"/>
      <w:r>
        <w:t>Rivermead</w:t>
      </w:r>
      <w:proofErr w:type="spellEnd"/>
      <w:r>
        <w:t xml:space="preserve"> Nature Reserve in Rose Hill is owned</w:t>
      </w:r>
      <w:r w:rsidR="00E0034C">
        <w:t xml:space="preserve"> and man</w:t>
      </w:r>
      <w:r>
        <w:t>aged by Oxford City Council</w:t>
      </w:r>
      <w:r w:rsidR="00E0034C">
        <w:t xml:space="preserve">.  It </w:t>
      </w:r>
      <w:r>
        <w:t>is a dedicate nature reserve and is popular with the local community.</w:t>
      </w:r>
      <w:r w:rsidR="00E0034C">
        <w:t xml:space="preserve">  </w:t>
      </w:r>
    </w:p>
    <w:p w14:paraId="18A1BCC0" w14:textId="2EE078A4" w:rsidR="00E0034C" w:rsidRDefault="00E0034C" w:rsidP="00E0034C">
      <w:pPr>
        <w:pStyle w:val="ListParagraph"/>
        <w:numPr>
          <w:ilvl w:val="0"/>
          <w:numId w:val="6"/>
        </w:numPr>
        <w:pBdr>
          <w:top w:val="nil"/>
          <w:left w:val="nil"/>
          <w:bottom w:val="nil"/>
          <w:right w:val="nil"/>
          <w:between w:val="nil"/>
          <w:bar w:val="nil"/>
        </w:pBdr>
      </w:pPr>
      <w:r>
        <w:t xml:space="preserve">Fire damage from bonfires and barbeques can be found in the </w:t>
      </w:r>
      <w:r w:rsidR="00EB0C36">
        <w:t>grassed areas</w:t>
      </w:r>
      <w:r>
        <w:t xml:space="preserve"> of the meadow.  Photos illustrating the damage can be found in Appendix 4.  There are no facilities for barbeques in the </w:t>
      </w:r>
      <w:r w:rsidR="00EB0C36">
        <w:t>reserve and signage is in place asking people not to light fires.</w:t>
      </w:r>
    </w:p>
    <w:p w14:paraId="0FD2C90D" w14:textId="77777777" w:rsidR="00E0034C" w:rsidRDefault="00E0034C" w:rsidP="00E0034C">
      <w:pPr>
        <w:pStyle w:val="ListParagraph"/>
        <w:numPr>
          <w:ilvl w:val="0"/>
          <w:numId w:val="6"/>
        </w:numPr>
        <w:pBdr>
          <w:top w:val="nil"/>
          <w:left w:val="nil"/>
          <w:bottom w:val="nil"/>
          <w:right w:val="nil"/>
          <w:between w:val="nil"/>
          <w:bar w:val="nil"/>
        </w:pBdr>
      </w:pPr>
      <w:r>
        <w:t>Consultation responses can be found in Appendix 2.  In summary:</w:t>
      </w:r>
    </w:p>
    <w:p w14:paraId="2477AD26" w14:textId="10A63A7E" w:rsidR="00E0034C" w:rsidRDefault="00EB0C36" w:rsidP="00E0034C">
      <w:pPr>
        <w:pStyle w:val="ListParagraph"/>
        <w:numPr>
          <w:ilvl w:val="1"/>
          <w:numId w:val="8"/>
        </w:numPr>
        <w:tabs>
          <w:tab w:val="clear" w:pos="426"/>
        </w:tabs>
        <w:autoSpaceDE w:val="0"/>
        <w:autoSpaceDN w:val="0"/>
        <w:adjustRightInd w:val="0"/>
        <w:spacing w:after="0"/>
        <w:contextualSpacing/>
        <w:rPr>
          <w:rFonts w:cs="Arial"/>
        </w:rPr>
      </w:pPr>
      <w:r>
        <w:rPr>
          <w:rFonts w:cs="Arial"/>
        </w:rPr>
        <w:t>21</w:t>
      </w:r>
      <w:r w:rsidR="00E0034C">
        <w:rPr>
          <w:rFonts w:cs="Arial"/>
        </w:rPr>
        <w:t xml:space="preserve">% </w:t>
      </w:r>
      <w:r>
        <w:rPr>
          <w:rFonts w:cs="Arial"/>
        </w:rPr>
        <w:t>of respondents completed these questions</w:t>
      </w:r>
    </w:p>
    <w:p w14:paraId="1E3A51D7" w14:textId="77777777" w:rsidR="00E0034C" w:rsidRDefault="00E0034C" w:rsidP="00E0034C">
      <w:pPr>
        <w:pStyle w:val="ListParagraph"/>
        <w:numPr>
          <w:ilvl w:val="1"/>
          <w:numId w:val="8"/>
        </w:numPr>
        <w:tabs>
          <w:tab w:val="clear" w:pos="426"/>
        </w:tabs>
        <w:autoSpaceDE w:val="0"/>
        <w:autoSpaceDN w:val="0"/>
        <w:adjustRightInd w:val="0"/>
        <w:spacing w:after="0"/>
        <w:contextualSpacing/>
        <w:rPr>
          <w:rFonts w:cs="Arial"/>
        </w:rPr>
      </w:pPr>
      <w:r>
        <w:rPr>
          <w:rFonts w:cs="Arial"/>
        </w:rPr>
        <w:t>Over three-quarters of respondents who expressed an opinion felt log fires and barbeques on the ground were a problem, with just under three-quarters of respondents stating it had got worse over the last 12 months.</w:t>
      </w:r>
    </w:p>
    <w:p w14:paraId="3E626013" w14:textId="36EC14F5" w:rsidR="00E0034C" w:rsidRDefault="00E0034C" w:rsidP="00E0034C">
      <w:pPr>
        <w:pStyle w:val="ListParagraph"/>
        <w:numPr>
          <w:ilvl w:val="1"/>
          <w:numId w:val="8"/>
        </w:numPr>
        <w:tabs>
          <w:tab w:val="clear" w:pos="426"/>
        </w:tabs>
        <w:autoSpaceDE w:val="0"/>
        <w:autoSpaceDN w:val="0"/>
        <w:adjustRightInd w:val="0"/>
        <w:spacing w:after="0"/>
        <w:contextualSpacing/>
        <w:rPr>
          <w:rFonts w:cs="Arial"/>
        </w:rPr>
      </w:pPr>
      <w:r>
        <w:rPr>
          <w:rFonts w:cs="Arial"/>
        </w:rPr>
        <w:t>5</w:t>
      </w:r>
      <w:r w:rsidR="00EB0C36">
        <w:rPr>
          <w:rFonts w:cs="Arial"/>
        </w:rPr>
        <w:t>6</w:t>
      </w:r>
      <w:r>
        <w:rPr>
          <w:rFonts w:cs="Arial"/>
        </w:rPr>
        <w:t>% of respondents felt that barbeques on a stand were a problem.</w:t>
      </w:r>
    </w:p>
    <w:p w14:paraId="3B0C3B21" w14:textId="2CCDFE3B" w:rsidR="00EB0C36" w:rsidRPr="00EB0C36" w:rsidRDefault="00EB0C36" w:rsidP="00EB0C36">
      <w:pPr>
        <w:pBdr>
          <w:top w:val="nil"/>
          <w:left w:val="nil"/>
          <w:bottom w:val="nil"/>
          <w:right w:val="nil"/>
          <w:between w:val="nil"/>
          <w:bar w:val="nil"/>
        </w:pBdr>
        <w:spacing w:before="120"/>
        <w:rPr>
          <w:b/>
        </w:rPr>
      </w:pPr>
      <w:r>
        <w:rPr>
          <w:b/>
        </w:rPr>
        <w:t xml:space="preserve">Port Meadow, Burgess Field and </w:t>
      </w:r>
      <w:proofErr w:type="spellStart"/>
      <w:r>
        <w:rPr>
          <w:b/>
        </w:rPr>
        <w:t>Wolvercote</w:t>
      </w:r>
      <w:proofErr w:type="spellEnd"/>
      <w:r>
        <w:rPr>
          <w:b/>
        </w:rPr>
        <w:t xml:space="preserve"> Common</w:t>
      </w:r>
    </w:p>
    <w:p w14:paraId="4F35E576" w14:textId="77777777" w:rsidR="00631E71" w:rsidRDefault="00EB0C36" w:rsidP="00EB0C36">
      <w:pPr>
        <w:numPr>
          <w:ilvl w:val="0"/>
          <w:numId w:val="6"/>
        </w:numPr>
        <w:pBdr>
          <w:top w:val="nil"/>
          <w:left w:val="nil"/>
          <w:bottom w:val="nil"/>
          <w:right w:val="nil"/>
          <w:between w:val="nil"/>
          <w:bar w:val="nil"/>
        </w:pBdr>
        <w:tabs>
          <w:tab w:val="left" w:pos="426"/>
        </w:tabs>
      </w:pPr>
      <w:r>
        <w:t>This is a large area common land that covers many acres.</w:t>
      </w:r>
      <w:r w:rsidRPr="00EB0C36">
        <w:t xml:space="preserve">  </w:t>
      </w:r>
      <w:r w:rsidR="00631E71">
        <w:t xml:space="preserve">The River Thames runs through the area and animals graze in some parts.  </w:t>
      </w:r>
    </w:p>
    <w:p w14:paraId="5F4521F3" w14:textId="3EE08F0C" w:rsidR="00EB0C36" w:rsidRPr="00EB0C36" w:rsidRDefault="00631E71" w:rsidP="00EB0C36">
      <w:pPr>
        <w:numPr>
          <w:ilvl w:val="0"/>
          <w:numId w:val="6"/>
        </w:numPr>
        <w:pBdr>
          <w:top w:val="nil"/>
          <w:left w:val="nil"/>
          <w:bottom w:val="nil"/>
          <w:right w:val="nil"/>
          <w:between w:val="nil"/>
          <w:bar w:val="nil"/>
        </w:pBdr>
        <w:tabs>
          <w:tab w:val="left" w:pos="426"/>
        </w:tabs>
      </w:pPr>
      <w:r>
        <w:t xml:space="preserve">Port Meadow is a Registered Ancient Common, SSSI and contains a Schedule Ancient Monument. </w:t>
      </w:r>
      <w:r w:rsidR="00EB0C36">
        <w:t>Burgess Field</w:t>
      </w:r>
      <w:r>
        <w:t xml:space="preserve"> is an extensive nature area and an important habitat for a wide range of species. </w:t>
      </w:r>
      <w:r w:rsidR="00EB0C36">
        <w:t xml:space="preserve"> </w:t>
      </w:r>
      <w:proofErr w:type="spellStart"/>
      <w:r w:rsidR="00EB0C36">
        <w:t>Wolvercote</w:t>
      </w:r>
      <w:proofErr w:type="spellEnd"/>
      <w:r w:rsidR="00EB0C36">
        <w:t xml:space="preserve"> Common </w:t>
      </w:r>
      <w:r>
        <w:t>is a Registered Ancient Common, SSSI and contains a Schedule Ancient Monument.  T</w:t>
      </w:r>
      <w:r w:rsidR="00EB0C36">
        <w:t>here are some picnic areas</w:t>
      </w:r>
      <w:r>
        <w:t xml:space="preserve"> and i</w:t>
      </w:r>
      <w:r w:rsidR="00EB0C36">
        <w:t>t is popular</w:t>
      </w:r>
      <w:r w:rsidR="00BB082F">
        <w:t xml:space="preserve"> with dog walkers and families.</w:t>
      </w:r>
    </w:p>
    <w:p w14:paraId="7A34539F" w14:textId="58521930" w:rsidR="00EB0C36" w:rsidRPr="00EB0C36" w:rsidRDefault="00EB0C36" w:rsidP="00EB0C36">
      <w:pPr>
        <w:numPr>
          <w:ilvl w:val="0"/>
          <w:numId w:val="6"/>
        </w:numPr>
        <w:pBdr>
          <w:top w:val="nil"/>
          <w:left w:val="nil"/>
          <w:bottom w:val="nil"/>
          <w:right w:val="nil"/>
          <w:between w:val="nil"/>
          <w:bar w:val="nil"/>
        </w:pBdr>
        <w:tabs>
          <w:tab w:val="left" w:pos="426"/>
        </w:tabs>
      </w:pPr>
      <w:r w:rsidRPr="00EB0C36">
        <w:lastRenderedPageBreak/>
        <w:t xml:space="preserve">Fire damage from bonfires and barbeques can be found in </w:t>
      </w:r>
      <w:r w:rsidR="00BB082F">
        <w:t xml:space="preserve">areas close to car parking and residential areas.  </w:t>
      </w:r>
      <w:r w:rsidRPr="00EB0C36">
        <w:t xml:space="preserve">Photos illustrating the damage can be found in Appendix 4.  There are </w:t>
      </w:r>
      <w:r w:rsidR="00BB082F">
        <w:t>picnic areas in some areas</w:t>
      </w:r>
      <w:r w:rsidRPr="00EB0C36">
        <w:t>.</w:t>
      </w:r>
    </w:p>
    <w:p w14:paraId="4478EDA0" w14:textId="77777777" w:rsidR="00EB0C36" w:rsidRPr="00EB0C36" w:rsidRDefault="00EB0C36" w:rsidP="00EB0C36">
      <w:pPr>
        <w:numPr>
          <w:ilvl w:val="0"/>
          <w:numId w:val="6"/>
        </w:numPr>
        <w:pBdr>
          <w:top w:val="nil"/>
          <w:left w:val="nil"/>
          <w:bottom w:val="nil"/>
          <w:right w:val="nil"/>
          <w:between w:val="nil"/>
          <w:bar w:val="nil"/>
        </w:pBdr>
        <w:tabs>
          <w:tab w:val="left" w:pos="426"/>
        </w:tabs>
      </w:pPr>
      <w:r w:rsidRPr="00EB0C36">
        <w:t>Consultation responses can be found in Appendix 2.  In summary:</w:t>
      </w:r>
    </w:p>
    <w:p w14:paraId="098137B9" w14:textId="5F8B639F" w:rsidR="00BB082F" w:rsidRDefault="00BB082F" w:rsidP="00BB082F">
      <w:pPr>
        <w:pStyle w:val="ListParagraph"/>
        <w:numPr>
          <w:ilvl w:val="1"/>
          <w:numId w:val="8"/>
        </w:numPr>
        <w:tabs>
          <w:tab w:val="clear" w:pos="426"/>
        </w:tabs>
        <w:autoSpaceDE w:val="0"/>
        <w:autoSpaceDN w:val="0"/>
        <w:adjustRightInd w:val="0"/>
        <w:spacing w:after="0"/>
        <w:contextualSpacing/>
        <w:rPr>
          <w:rFonts w:cs="Arial"/>
        </w:rPr>
      </w:pPr>
      <w:r>
        <w:rPr>
          <w:rFonts w:cs="Arial"/>
        </w:rPr>
        <w:t>84% of respondents completed these questions</w:t>
      </w:r>
    </w:p>
    <w:p w14:paraId="4E703324" w14:textId="7D1C3E64" w:rsidR="00EB0C36" w:rsidRPr="00EB0C36" w:rsidRDefault="00EC365E" w:rsidP="00EB0C36">
      <w:pPr>
        <w:numPr>
          <w:ilvl w:val="1"/>
          <w:numId w:val="8"/>
        </w:numPr>
        <w:autoSpaceDE w:val="0"/>
        <w:autoSpaceDN w:val="0"/>
        <w:adjustRightInd w:val="0"/>
        <w:spacing w:after="0"/>
        <w:contextualSpacing/>
        <w:rPr>
          <w:rFonts w:cs="Arial"/>
        </w:rPr>
      </w:pPr>
      <w:r>
        <w:rPr>
          <w:rFonts w:cs="Arial"/>
        </w:rPr>
        <w:t>94%</w:t>
      </w:r>
      <w:r w:rsidR="00EB0C36" w:rsidRPr="00EB0C36">
        <w:rPr>
          <w:rFonts w:cs="Arial"/>
        </w:rPr>
        <w:t xml:space="preserve"> of respondents who expressed an opinion felt log fires and barbeques on the ground were a problem, with </w:t>
      </w:r>
      <w:r>
        <w:rPr>
          <w:rFonts w:cs="Arial"/>
        </w:rPr>
        <w:t>similar number</w:t>
      </w:r>
      <w:r w:rsidR="00EB0C36" w:rsidRPr="00EB0C36">
        <w:rPr>
          <w:rFonts w:cs="Arial"/>
        </w:rPr>
        <w:t xml:space="preserve"> stating it had got worse over the last 12 months.</w:t>
      </w:r>
    </w:p>
    <w:p w14:paraId="4166C039" w14:textId="7225130B" w:rsidR="00EB0C36" w:rsidRDefault="00EB0C36" w:rsidP="00EB0C36">
      <w:pPr>
        <w:numPr>
          <w:ilvl w:val="1"/>
          <w:numId w:val="8"/>
        </w:numPr>
        <w:autoSpaceDE w:val="0"/>
        <w:autoSpaceDN w:val="0"/>
        <w:adjustRightInd w:val="0"/>
        <w:spacing w:after="0"/>
        <w:contextualSpacing/>
        <w:rPr>
          <w:rFonts w:cs="Arial"/>
        </w:rPr>
      </w:pPr>
      <w:r w:rsidRPr="00EB0C36">
        <w:rPr>
          <w:rFonts w:cs="Arial"/>
        </w:rPr>
        <w:t>5</w:t>
      </w:r>
      <w:r w:rsidR="00EC365E">
        <w:rPr>
          <w:rFonts w:cs="Arial"/>
        </w:rPr>
        <w:t>6</w:t>
      </w:r>
      <w:r w:rsidRPr="00EB0C36">
        <w:rPr>
          <w:rFonts w:cs="Arial"/>
        </w:rPr>
        <w:t>% of respondents felt that barbeques on a stand were a problem.</w:t>
      </w:r>
    </w:p>
    <w:p w14:paraId="13589452" w14:textId="3F3116B6" w:rsidR="00EC365E" w:rsidRDefault="00EC365E" w:rsidP="00EB0C36">
      <w:pPr>
        <w:numPr>
          <w:ilvl w:val="1"/>
          <w:numId w:val="8"/>
        </w:numPr>
        <w:autoSpaceDE w:val="0"/>
        <w:autoSpaceDN w:val="0"/>
        <w:adjustRightInd w:val="0"/>
        <w:spacing w:after="0"/>
        <w:contextualSpacing/>
        <w:rPr>
          <w:rFonts w:cs="Arial"/>
        </w:rPr>
      </w:pPr>
      <w:r>
        <w:rPr>
          <w:rFonts w:cs="Arial"/>
        </w:rPr>
        <w:t>87% of respondents who expressed an opinion felt that bottle-digging on Port Meadow was a problem, with 69% of respondents stating it had got worse.</w:t>
      </w:r>
    </w:p>
    <w:p w14:paraId="47719766" w14:textId="13DC30F3" w:rsidR="00EC365E" w:rsidRPr="00D073FF" w:rsidRDefault="00EC365E" w:rsidP="00EC365E">
      <w:pPr>
        <w:pBdr>
          <w:top w:val="nil"/>
          <w:left w:val="nil"/>
          <w:bottom w:val="nil"/>
          <w:right w:val="nil"/>
          <w:between w:val="nil"/>
          <w:bar w:val="nil"/>
        </w:pBdr>
        <w:spacing w:before="120"/>
        <w:rPr>
          <w:b/>
        </w:rPr>
      </w:pPr>
      <w:r>
        <w:rPr>
          <w:b/>
        </w:rPr>
        <w:t>Restrictions</w:t>
      </w:r>
    </w:p>
    <w:p w14:paraId="6BCA02E9" w14:textId="7E88334A" w:rsidR="00EC365E" w:rsidRDefault="00EC365E" w:rsidP="00EC365E">
      <w:pPr>
        <w:pStyle w:val="ListParagraph"/>
        <w:numPr>
          <w:ilvl w:val="0"/>
          <w:numId w:val="6"/>
        </w:numPr>
        <w:pBdr>
          <w:top w:val="nil"/>
          <w:left w:val="nil"/>
          <w:bottom w:val="nil"/>
          <w:right w:val="nil"/>
          <w:between w:val="nil"/>
          <w:bar w:val="nil"/>
        </w:pBdr>
      </w:pPr>
      <w:r>
        <w:t>Respondents were asked a series of questions on possible restrictions:</w:t>
      </w:r>
    </w:p>
    <w:p w14:paraId="1C34F688" w14:textId="5E5FDB6E" w:rsidR="00EC365E" w:rsidRDefault="00EC365E" w:rsidP="00EC365E">
      <w:pPr>
        <w:pStyle w:val="ListParagraph"/>
        <w:numPr>
          <w:ilvl w:val="1"/>
          <w:numId w:val="8"/>
        </w:numPr>
        <w:tabs>
          <w:tab w:val="clear" w:pos="426"/>
        </w:tabs>
        <w:autoSpaceDE w:val="0"/>
        <w:autoSpaceDN w:val="0"/>
        <w:adjustRightInd w:val="0"/>
        <w:spacing w:after="0"/>
        <w:contextualSpacing/>
        <w:rPr>
          <w:rFonts w:cs="Arial"/>
        </w:rPr>
      </w:pPr>
      <w:r>
        <w:rPr>
          <w:rFonts w:cs="Arial"/>
        </w:rPr>
        <w:t>96% supported a ban on log fires</w:t>
      </w:r>
    </w:p>
    <w:p w14:paraId="36E28145" w14:textId="28DCAC6D" w:rsidR="00EC365E" w:rsidRDefault="00EC365E" w:rsidP="00EC365E">
      <w:pPr>
        <w:pStyle w:val="ListParagraph"/>
        <w:numPr>
          <w:ilvl w:val="1"/>
          <w:numId w:val="8"/>
        </w:numPr>
        <w:tabs>
          <w:tab w:val="clear" w:pos="426"/>
        </w:tabs>
        <w:autoSpaceDE w:val="0"/>
        <w:autoSpaceDN w:val="0"/>
        <w:adjustRightInd w:val="0"/>
        <w:spacing w:after="0"/>
        <w:contextualSpacing/>
        <w:rPr>
          <w:rFonts w:cs="Arial"/>
        </w:rPr>
      </w:pPr>
      <w:r>
        <w:rPr>
          <w:rFonts w:cs="Arial"/>
        </w:rPr>
        <w:t>87% supported a ban on all barbeques</w:t>
      </w:r>
    </w:p>
    <w:p w14:paraId="47C8A97C" w14:textId="173A2C2D" w:rsidR="00EC365E" w:rsidRDefault="009B76F6" w:rsidP="00EC365E">
      <w:pPr>
        <w:pStyle w:val="ListParagraph"/>
        <w:numPr>
          <w:ilvl w:val="1"/>
          <w:numId w:val="8"/>
        </w:numPr>
        <w:tabs>
          <w:tab w:val="clear" w:pos="426"/>
        </w:tabs>
        <w:autoSpaceDE w:val="0"/>
        <w:autoSpaceDN w:val="0"/>
        <w:adjustRightInd w:val="0"/>
        <w:spacing w:after="0"/>
        <w:contextualSpacing/>
        <w:rPr>
          <w:rFonts w:cs="Arial"/>
        </w:rPr>
      </w:pPr>
      <w:r>
        <w:rPr>
          <w:rFonts w:cs="Arial"/>
        </w:rPr>
        <w:t>The following question asked for their views on only banning barbeques that do damage. 4</w:t>
      </w:r>
      <w:r w:rsidR="00EC365E">
        <w:rPr>
          <w:rFonts w:cs="Arial"/>
        </w:rPr>
        <w:t>5% supported a ban</w:t>
      </w:r>
      <w:r>
        <w:rPr>
          <w:rFonts w:cs="Arial"/>
        </w:rPr>
        <w:t>.</w:t>
      </w:r>
      <w:r w:rsidR="00EC365E">
        <w:rPr>
          <w:rFonts w:cs="Arial"/>
        </w:rPr>
        <w:t xml:space="preserve"> </w:t>
      </w:r>
    </w:p>
    <w:p w14:paraId="2A8600F2" w14:textId="116EB1AA" w:rsidR="00EC365E" w:rsidRDefault="00EC365E" w:rsidP="00EC365E">
      <w:pPr>
        <w:pStyle w:val="ListParagraph"/>
        <w:numPr>
          <w:ilvl w:val="1"/>
          <w:numId w:val="8"/>
        </w:numPr>
        <w:tabs>
          <w:tab w:val="clear" w:pos="426"/>
        </w:tabs>
        <w:autoSpaceDE w:val="0"/>
        <w:autoSpaceDN w:val="0"/>
        <w:adjustRightInd w:val="0"/>
        <w:spacing w:after="0"/>
        <w:contextualSpacing/>
        <w:rPr>
          <w:rFonts w:cs="Arial"/>
        </w:rPr>
      </w:pPr>
      <w:r>
        <w:rPr>
          <w:rFonts w:cs="Arial"/>
        </w:rPr>
        <w:t>87% supported a ban on bottle-digging</w:t>
      </w:r>
    </w:p>
    <w:p w14:paraId="19258F9B" w14:textId="6D500959" w:rsidR="009B76F6" w:rsidRPr="00D073FF" w:rsidRDefault="009B76F6" w:rsidP="009B76F6">
      <w:pPr>
        <w:pBdr>
          <w:top w:val="nil"/>
          <w:left w:val="nil"/>
          <w:bottom w:val="nil"/>
          <w:right w:val="nil"/>
          <w:between w:val="nil"/>
          <w:bar w:val="nil"/>
        </w:pBdr>
        <w:spacing w:before="120"/>
        <w:rPr>
          <w:b/>
        </w:rPr>
      </w:pPr>
      <w:r>
        <w:rPr>
          <w:b/>
        </w:rPr>
        <w:t>Additional areas</w:t>
      </w:r>
    </w:p>
    <w:p w14:paraId="5102DA91" w14:textId="494AE835" w:rsidR="009B76F6" w:rsidRDefault="009B76F6" w:rsidP="009B76F6">
      <w:pPr>
        <w:pStyle w:val="ListParagraph"/>
        <w:numPr>
          <w:ilvl w:val="0"/>
          <w:numId w:val="6"/>
        </w:numPr>
        <w:pBdr>
          <w:top w:val="nil"/>
          <w:left w:val="nil"/>
          <w:bottom w:val="nil"/>
          <w:right w:val="nil"/>
          <w:between w:val="nil"/>
          <w:bar w:val="nil"/>
        </w:pBdr>
      </w:pPr>
      <w:r>
        <w:t>Respondents were asked if there were any other areas that were are concern.  The top five areas referred to the most were:</w:t>
      </w:r>
    </w:p>
    <w:tbl>
      <w:tblPr>
        <w:tblW w:w="3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4"/>
        <w:gridCol w:w="1320"/>
      </w:tblGrid>
      <w:tr w:rsidR="009B76F6" w14:paraId="21623C8E" w14:textId="77777777" w:rsidTr="009B76F6">
        <w:trPr>
          <w:trHeight w:val="288"/>
          <w:jc w:val="center"/>
        </w:trPr>
        <w:tc>
          <w:tcPr>
            <w:tcW w:w="2334" w:type="dxa"/>
            <w:tcBorders>
              <w:top w:val="nil"/>
              <w:left w:val="nil"/>
              <w:bottom w:val="single" w:sz="4" w:space="0" w:color="auto"/>
              <w:right w:val="nil"/>
            </w:tcBorders>
            <w:noWrap/>
            <w:vAlign w:val="bottom"/>
            <w:hideMark/>
          </w:tcPr>
          <w:p w14:paraId="37184F07" w14:textId="77777777" w:rsidR="009B76F6" w:rsidRDefault="009B76F6">
            <w:pPr>
              <w:spacing w:after="0"/>
              <w:rPr>
                <w:color w:val="auto"/>
                <w:sz w:val="20"/>
                <w:szCs w:val="20"/>
              </w:rPr>
            </w:pPr>
          </w:p>
        </w:tc>
        <w:tc>
          <w:tcPr>
            <w:tcW w:w="1320" w:type="dxa"/>
            <w:tcBorders>
              <w:top w:val="nil"/>
              <w:left w:val="nil"/>
              <w:bottom w:val="single" w:sz="4" w:space="0" w:color="auto"/>
              <w:right w:val="nil"/>
            </w:tcBorders>
            <w:noWrap/>
            <w:vAlign w:val="bottom"/>
            <w:hideMark/>
          </w:tcPr>
          <w:p w14:paraId="3A9C8334" w14:textId="77777777" w:rsidR="009B76F6" w:rsidRDefault="009B76F6">
            <w:pPr>
              <w:spacing w:after="0"/>
              <w:rPr>
                <w:rFonts w:ascii="Calibri" w:hAnsi="Calibri" w:cs="Calibri"/>
                <w:sz w:val="22"/>
                <w:szCs w:val="22"/>
              </w:rPr>
            </w:pPr>
            <w:r>
              <w:rPr>
                <w:rFonts w:ascii="Calibri" w:hAnsi="Calibri" w:cs="Calibri"/>
              </w:rPr>
              <w:t>Quantity</w:t>
            </w:r>
          </w:p>
        </w:tc>
      </w:tr>
      <w:tr w:rsidR="009B76F6" w14:paraId="5F2AF07B" w14:textId="77777777" w:rsidTr="009B76F6">
        <w:trPr>
          <w:trHeight w:val="288"/>
          <w:jc w:val="center"/>
        </w:trPr>
        <w:tc>
          <w:tcPr>
            <w:tcW w:w="2334" w:type="dxa"/>
            <w:tcBorders>
              <w:top w:val="single" w:sz="4" w:space="0" w:color="auto"/>
              <w:left w:val="single" w:sz="4" w:space="0" w:color="auto"/>
              <w:bottom w:val="single" w:sz="4" w:space="0" w:color="auto"/>
              <w:right w:val="single" w:sz="4" w:space="0" w:color="auto"/>
            </w:tcBorders>
            <w:noWrap/>
            <w:vAlign w:val="bottom"/>
            <w:hideMark/>
          </w:tcPr>
          <w:p w14:paraId="50B9E52F" w14:textId="77777777" w:rsidR="009B76F6" w:rsidRDefault="009B76F6">
            <w:pPr>
              <w:spacing w:after="0"/>
              <w:rPr>
                <w:rFonts w:ascii="Calibri" w:hAnsi="Calibri" w:cs="Calibri"/>
              </w:rPr>
            </w:pPr>
            <w:r>
              <w:rPr>
                <w:rFonts w:ascii="Calibri" w:hAnsi="Calibri" w:cs="Calibri"/>
              </w:rPr>
              <w:t>Trap Grounds</w:t>
            </w:r>
          </w:p>
        </w:tc>
        <w:tc>
          <w:tcPr>
            <w:tcW w:w="1320" w:type="dxa"/>
            <w:tcBorders>
              <w:top w:val="single" w:sz="4" w:space="0" w:color="auto"/>
              <w:left w:val="single" w:sz="4" w:space="0" w:color="auto"/>
              <w:bottom w:val="single" w:sz="4" w:space="0" w:color="auto"/>
              <w:right w:val="single" w:sz="4" w:space="0" w:color="auto"/>
            </w:tcBorders>
            <w:noWrap/>
            <w:vAlign w:val="bottom"/>
            <w:hideMark/>
          </w:tcPr>
          <w:p w14:paraId="069A0E80" w14:textId="77777777" w:rsidR="009B76F6" w:rsidRDefault="009B76F6">
            <w:pPr>
              <w:spacing w:after="0"/>
              <w:jc w:val="right"/>
              <w:rPr>
                <w:rFonts w:ascii="Calibri" w:hAnsi="Calibri" w:cs="Calibri"/>
              </w:rPr>
            </w:pPr>
            <w:r>
              <w:rPr>
                <w:rFonts w:ascii="Calibri" w:hAnsi="Calibri" w:cs="Calibri"/>
              </w:rPr>
              <w:t>19</w:t>
            </w:r>
          </w:p>
        </w:tc>
      </w:tr>
      <w:tr w:rsidR="009B76F6" w14:paraId="14FE0F36" w14:textId="77777777" w:rsidTr="009B76F6">
        <w:trPr>
          <w:trHeight w:val="288"/>
          <w:jc w:val="center"/>
        </w:trPr>
        <w:tc>
          <w:tcPr>
            <w:tcW w:w="2334" w:type="dxa"/>
            <w:tcBorders>
              <w:top w:val="single" w:sz="4" w:space="0" w:color="auto"/>
              <w:left w:val="single" w:sz="4" w:space="0" w:color="auto"/>
              <w:bottom w:val="single" w:sz="4" w:space="0" w:color="auto"/>
              <w:right w:val="single" w:sz="4" w:space="0" w:color="auto"/>
            </w:tcBorders>
            <w:noWrap/>
            <w:vAlign w:val="bottom"/>
            <w:hideMark/>
          </w:tcPr>
          <w:p w14:paraId="0D58906E" w14:textId="77777777" w:rsidR="009B76F6" w:rsidRDefault="009B76F6">
            <w:pPr>
              <w:spacing w:after="0"/>
              <w:rPr>
                <w:rFonts w:ascii="Calibri" w:hAnsi="Calibri" w:cs="Calibri"/>
              </w:rPr>
            </w:pPr>
            <w:r>
              <w:rPr>
                <w:rFonts w:ascii="Calibri" w:hAnsi="Calibri" w:cs="Calibri"/>
              </w:rPr>
              <w:t>Adjacent to Port Meadow</w:t>
            </w:r>
          </w:p>
        </w:tc>
        <w:tc>
          <w:tcPr>
            <w:tcW w:w="1320" w:type="dxa"/>
            <w:tcBorders>
              <w:top w:val="single" w:sz="4" w:space="0" w:color="auto"/>
              <w:left w:val="single" w:sz="4" w:space="0" w:color="auto"/>
              <w:bottom w:val="single" w:sz="4" w:space="0" w:color="auto"/>
              <w:right w:val="single" w:sz="4" w:space="0" w:color="auto"/>
            </w:tcBorders>
            <w:noWrap/>
            <w:vAlign w:val="bottom"/>
            <w:hideMark/>
          </w:tcPr>
          <w:p w14:paraId="19A97519" w14:textId="77777777" w:rsidR="009B76F6" w:rsidRDefault="009B76F6">
            <w:pPr>
              <w:spacing w:after="0"/>
              <w:jc w:val="right"/>
              <w:rPr>
                <w:rFonts w:ascii="Calibri" w:hAnsi="Calibri" w:cs="Calibri"/>
              </w:rPr>
            </w:pPr>
            <w:r>
              <w:rPr>
                <w:rFonts w:ascii="Calibri" w:hAnsi="Calibri" w:cs="Calibri"/>
              </w:rPr>
              <w:t>15</w:t>
            </w:r>
          </w:p>
        </w:tc>
      </w:tr>
      <w:tr w:rsidR="009B76F6" w14:paraId="5947505D" w14:textId="77777777" w:rsidTr="009B76F6">
        <w:trPr>
          <w:trHeight w:val="288"/>
          <w:jc w:val="center"/>
        </w:trPr>
        <w:tc>
          <w:tcPr>
            <w:tcW w:w="2334" w:type="dxa"/>
            <w:tcBorders>
              <w:top w:val="single" w:sz="4" w:space="0" w:color="auto"/>
              <w:left w:val="single" w:sz="4" w:space="0" w:color="auto"/>
              <w:bottom w:val="single" w:sz="4" w:space="0" w:color="auto"/>
              <w:right w:val="single" w:sz="4" w:space="0" w:color="auto"/>
            </w:tcBorders>
            <w:noWrap/>
            <w:vAlign w:val="bottom"/>
            <w:hideMark/>
          </w:tcPr>
          <w:p w14:paraId="719A36E6" w14:textId="77777777" w:rsidR="009B76F6" w:rsidRDefault="009B76F6">
            <w:pPr>
              <w:spacing w:after="0"/>
              <w:rPr>
                <w:rFonts w:ascii="Calibri" w:hAnsi="Calibri" w:cs="Calibri"/>
              </w:rPr>
            </w:pPr>
            <w:r>
              <w:rPr>
                <w:rFonts w:ascii="Calibri" w:hAnsi="Calibri" w:cs="Calibri"/>
              </w:rPr>
              <w:t>All areas</w:t>
            </w:r>
          </w:p>
        </w:tc>
        <w:tc>
          <w:tcPr>
            <w:tcW w:w="1320" w:type="dxa"/>
            <w:tcBorders>
              <w:top w:val="single" w:sz="4" w:space="0" w:color="auto"/>
              <w:left w:val="single" w:sz="4" w:space="0" w:color="auto"/>
              <w:bottom w:val="single" w:sz="4" w:space="0" w:color="auto"/>
              <w:right w:val="single" w:sz="4" w:space="0" w:color="auto"/>
            </w:tcBorders>
            <w:noWrap/>
            <w:vAlign w:val="bottom"/>
            <w:hideMark/>
          </w:tcPr>
          <w:p w14:paraId="4438FCCE" w14:textId="77777777" w:rsidR="009B76F6" w:rsidRDefault="009B76F6">
            <w:pPr>
              <w:spacing w:after="0"/>
              <w:jc w:val="right"/>
              <w:rPr>
                <w:rFonts w:ascii="Calibri" w:hAnsi="Calibri" w:cs="Calibri"/>
              </w:rPr>
            </w:pPr>
            <w:r>
              <w:rPr>
                <w:rFonts w:ascii="Calibri" w:hAnsi="Calibri" w:cs="Calibri"/>
              </w:rPr>
              <w:t>15</w:t>
            </w:r>
          </w:p>
        </w:tc>
      </w:tr>
      <w:tr w:rsidR="009B76F6" w14:paraId="7B509A9B" w14:textId="77777777" w:rsidTr="009B76F6">
        <w:trPr>
          <w:trHeight w:val="288"/>
          <w:jc w:val="center"/>
        </w:trPr>
        <w:tc>
          <w:tcPr>
            <w:tcW w:w="2334" w:type="dxa"/>
            <w:tcBorders>
              <w:top w:val="single" w:sz="4" w:space="0" w:color="auto"/>
              <w:left w:val="single" w:sz="4" w:space="0" w:color="auto"/>
              <w:bottom w:val="single" w:sz="4" w:space="0" w:color="auto"/>
              <w:right w:val="single" w:sz="4" w:space="0" w:color="auto"/>
            </w:tcBorders>
            <w:noWrap/>
            <w:vAlign w:val="bottom"/>
            <w:hideMark/>
          </w:tcPr>
          <w:p w14:paraId="1FE2DE59" w14:textId="77777777" w:rsidR="009B76F6" w:rsidRDefault="009B76F6">
            <w:pPr>
              <w:spacing w:after="0"/>
              <w:rPr>
                <w:rFonts w:ascii="Calibri" w:hAnsi="Calibri" w:cs="Calibri"/>
              </w:rPr>
            </w:pPr>
            <w:r>
              <w:rPr>
                <w:rFonts w:ascii="Calibri" w:hAnsi="Calibri" w:cs="Calibri"/>
              </w:rPr>
              <w:t xml:space="preserve">Astons </w:t>
            </w:r>
            <w:proofErr w:type="spellStart"/>
            <w:r>
              <w:rPr>
                <w:rFonts w:ascii="Calibri" w:hAnsi="Calibri" w:cs="Calibri"/>
              </w:rPr>
              <w:t>Eyot</w:t>
            </w:r>
            <w:proofErr w:type="spellEnd"/>
          </w:p>
        </w:tc>
        <w:tc>
          <w:tcPr>
            <w:tcW w:w="1320" w:type="dxa"/>
            <w:tcBorders>
              <w:top w:val="single" w:sz="4" w:space="0" w:color="auto"/>
              <w:left w:val="single" w:sz="4" w:space="0" w:color="auto"/>
              <w:bottom w:val="single" w:sz="4" w:space="0" w:color="auto"/>
              <w:right w:val="single" w:sz="4" w:space="0" w:color="auto"/>
            </w:tcBorders>
            <w:noWrap/>
            <w:vAlign w:val="bottom"/>
            <w:hideMark/>
          </w:tcPr>
          <w:p w14:paraId="5D78B8A6" w14:textId="77777777" w:rsidR="009B76F6" w:rsidRDefault="009B76F6">
            <w:pPr>
              <w:spacing w:after="0"/>
              <w:jc w:val="right"/>
              <w:rPr>
                <w:rFonts w:ascii="Calibri" w:hAnsi="Calibri" w:cs="Calibri"/>
              </w:rPr>
            </w:pPr>
            <w:r>
              <w:rPr>
                <w:rFonts w:ascii="Calibri" w:hAnsi="Calibri" w:cs="Calibri"/>
              </w:rPr>
              <w:t>5</w:t>
            </w:r>
          </w:p>
        </w:tc>
      </w:tr>
      <w:tr w:rsidR="009B76F6" w14:paraId="561E451B" w14:textId="77777777" w:rsidTr="009B76F6">
        <w:trPr>
          <w:trHeight w:val="288"/>
          <w:jc w:val="center"/>
        </w:trPr>
        <w:tc>
          <w:tcPr>
            <w:tcW w:w="2334" w:type="dxa"/>
            <w:tcBorders>
              <w:top w:val="single" w:sz="4" w:space="0" w:color="auto"/>
              <w:left w:val="single" w:sz="4" w:space="0" w:color="auto"/>
              <w:bottom w:val="single" w:sz="4" w:space="0" w:color="auto"/>
              <w:right w:val="single" w:sz="4" w:space="0" w:color="auto"/>
            </w:tcBorders>
            <w:noWrap/>
            <w:vAlign w:val="bottom"/>
            <w:hideMark/>
          </w:tcPr>
          <w:p w14:paraId="5E48387F" w14:textId="77777777" w:rsidR="009B76F6" w:rsidRDefault="009B76F6">
            <w:pPr>
              <w:spacing w:after="0"/>
              <w:rPr>
                <w:rFonts w:ascii="Calibri" w:hAnsi="Calibri" w:cs="Calibri"/>
              </w:rPr>
            </w:pPr>
            <w:r>
              <w:rPr>
                <w:rFonts w:ascii="Calibri" w:hAnsi="Calibri" w:cs="Calibri"/>
              </w:rPr>
              <w:t>None</w:t>
            </w:r>
          </w:p>
        </w:tc>
        <w:tc>
          <w:tcPr>
            <w:tcW w:w="1320" w:type="dxa"/>
            <w:tcBorders>
              <w:top w:val="single" w:sz="4" w:space="0" w:color="auto"/>
              <w:left w:val="single" w:sz="4" w:space="0" w:color="auto"/>
              <w:bottom w:val="single" w:sz="4" w:space="0" w:color="auto"/>
              <w:right w:val="single" w:sz="4" w:space="0" w:color="auto"/>
            </w:tcBorders>
            <w:noWrap/>
            <w:vAlign w:val="bottom"/>
            <w:hideMark/>
          </w:tcPr>
          <w:p w14:paraId="13AC5AA6" w14:textId="77777777" w:rsidR="009B76F6" w:rsidRDefault="009B76F6">
            <w:pPr>
              <w:spacing w:after="0"/>
              <w:jc w:val="right"/>
              <w:rPr>
                <w:rFonts w:ascii="Calibri" w:hAnsi="Calibri" w:cs="Calibri"/>
              </w:rPr>
            </w:pPr>
            <w:r>
              <w:rPr>
                <w:rFonts w:ascii="Calibri" w:hAnsi="Calibri" w:cs="Calibri"/>
              </w:rPr>
              <w:t>4</w:t>
            </w:r>
          </w:p>
        </w:tc>
      </w:tr>
      <w:tr w:rsidR="009B76F6" w14:paraId="717206AE" w14:textId="77777777" w:rsidTr="009B76F6">
        <w:trPr>
          <w:trHeight w:val="288"/>
          <w:jc w:val="center"/>
        </w:trPr>
        <w:tc>
          <w:tcPr>
            <w:tcW w:w="2334" w:type="dxa"/>
            <w:tcBorders>
              <w:top w:val="single" w:sz="4" w:space="0" w:color="auto"/>
              <w:left w:val="single" w:sz="4" w:space="0" w:color="auto"/>
              <w:bottom w:val="single" w:sz="4" w:space="0" w:color="auto"/>
              <w:right w:val="single" w:sz="4" w:space="0" w:color="auto"/>
            </w:tcBorders>
            <w:noWrap/>
            <w:vAlign w:val="bottom"/>
            <w:hideMark/>
          </w:tcPr>
          <w:p w14:paraId="624DFC7E" w14:textId="77777777" w:rsidR="009B76F6" w:rsidRDefault="009B76F6">
            <w:pPr>
              <w:spacing w:after="0"/>
              <w:rPr>
                <w:rFonts w:ascii="Calibri" w:hAnsi="Calibri" w:cs="Calibri"/>
              </w:rPr>
            </w:pPr>
            <w:proofErr w:type="spellStart"/>
            <w:r>
              <w:rPr>
                <w:rFonts w:ascii="Calibri" w:hAnsi="Calibri" w:cs="Calibri"/>
              </w:rPr>
              <w:t>Cutteslowe</w:t>
            </w:r>
            <w:proofErr w:type="spellEnd"/>
            <w:r>
              <w:rPr>
                <w:rFonts w:ascii="Calibri" w:hAnsi="Calibri" w:cs="Calibri"/>
              </w:rPr>
              <w:t xml:space="preserve"> Park</w:t>
            </w:r>
          </w:p>
        </w:tc>
        <w:tc>
          <w:tcPr>
            <w:tcW w:w="1320" w:type="dxa"/>
            <w:tcBorders>
              <w:top w:val="single" w:sz="4" w:space="0" w:color="auto"/>
              <w:left w:val="single" w:sz="4" w:space="0" w:color="auto"/>
              <w:bottom w:val="single" w:sz="4" w:space="0" w:color="auto"/>
              <w:right w:val="single" w:sz="4" w:space="0" w:color="auto"/>
            </w:tcBorders>
            <w:noWrap/>
            <w:vAlign w:val="bottom"/>
            <w:hideMark/>
          </w:tcPr>
          <w:p w14:paraId="64DC45E3" w14:textId="77777777" w:rsidR="009B76F6" w:rsidRDefault="009B76F6">
            <w:pPr>
              <w:spacing w:after="0"/>
              <w:jc w:val="right"/>
              <w:rPr>
                <w:rFonts w:ascii="Calibri" w:hAnsi="Calibri" w:cs="Calibri"/>
              </w:rPr>
            </w:pPr>
            <w:r>
              <w:rPr>
                <w:rFonts w:ascii="Calibri" w:hAnsi="Calibri" w:cs="Calibri"/>
              </w:rPr>
              <w:t>4</w:t>
            </w:r>
          </w:p>
        </w:tc>
      </w:tr>
      <w:tr w:rsidR="009B76F6" w14:paraId="7AAD5720" w14:textId="77777777" w:rsidTr="009B76F6">
        <w:trPr>
          <w:trHeight w:val="288"/>
          <w:jc w:val="center"/>
        </w:trPr>
        <w:tc>
          <w:tcPr>
            <w:tcW w:w="2334" w:type="dxa"/>
            <w:tcBorders>
              <w:top w:val="single" w:sz="4" w:space="0" w:color="auto"/>
              <w:left w:val="single" w:sz="4" w:space="0" w:color="auto"/>
              <w:bottom w:val="single" w:sz="4" w:space="0" w:color="auto"/>
              <w:right w:val="single" w:sz="4" w:space="0" w:color="auto"/>
            </w:tcBorders>
            <w:noWrap/>
            <w:vAlign w:val="bottom"/>
            <w:hideMark/>
          </w:tcPr>
          <w:p w14:paraId="3E772CA9" w14:textId="77777777" w:rsidR="009B76F6" w:rsidRDefault="009B76F6">
            <w:pPr>
              <w:spacing w:after="0"/>
              <w:rPr>
                <w:rFonts w:ascii="Calibri" w:hAnsi="Calibri" w:cs="Calibri"/>
              </w:rPr>
            </w:pPr>
            <w:proofErr w:type="spellStart"/>
            <w:r>
              <w:rPr>
                <w:rFonts w:ascii="Calibri" w:hAnsi="Calibri" w:cs="Calibri"/>
              </w:rPr>
              <w:t>Headington</w:t>
            </w:r>
            <w:proofErr w:type="spellEnd"/>
            <w:r>
              <w:rPr>
                <w:rFonts w:ascii="Calibri" w:hAnsi="Calibri" w:cs="Calibri"/>
              </w:rPr>
              <w:t xml:space="preserve"> Hill Park</w:t>
            </w:r>
          </w:p>
        </w:tc>
        <w:tc>
          <w:tcPr>
            <w:tcW w:w="1320" w:type="dxa"/>
            <w:tcBorders>
              <w:top w:val="single" w:sz="4" w:space="0" w:color="auto"/>
              <w:left w:val="single" w:sz="4" w:space="0" w:color="auto"/>
              <w:bottom w:val="single" w:sz="4" w:space="0" w:color="auto"/>
              <w:right w:val="single" w:sz="4" w:space="0" w:color="auto"/>
            </w:tcBorders>
            <w:noWrap/>
            <w:vAlign w:val="bottom"/>
            <w:hideMark/>
          </w:tcPr>
          <w:p w14:paraId="7CF91526" w14:textId="77777777" w:rsidR="009B76F6" w:rsidRDefault="009B76F6">
            <w:pPr>
              <w:spacing w:after="0"/>
              <w:jc w:val="right"/>
              <w:rPr>
                <w:rFonts w:ascii="Calibri" w:hAnsi="Calibri" w:cs="Calibri"/>
              </w:rPr>
            </w:pPr>
            <w:r>
              <w:rPr>
                <w:rFonts w:ascii="Calibri" w:hAnsi="Calibri" w:cs="Calibri"/>
              </w:rPr>
              <w:t>4</w:t>
            </w:r>
          </w:p>
        </w:tc>
      </w:tr>
    </w:tbl>
    <w:p w14:paraId="39F12190" w14:textId="62F00E4C" w:rsidR="000376E7" w:rsidRPr="00D073FF" w:rsidRDefault="000376E7" w:rsidP="000376E7">
      <w:pPr>
        <w:pBdr>
          <w:top w:val="nil"/>
          <w:left w:val="nil"/>
          <w:bottom w:val="nil"/>
          <w:right w:val="nil"/>
          <w:between w:val="nil"/>
          <w:bar w:val="nil"/>
        </w:pBdr>
        <w:spacing w:before="120"/>
        <w:rPr>
          <w:b/>
        </w:rPr>
      </w:pPr>
      <w:r>
        <w:rPr>
          <w:b/>
        </w:rPr>
        <w:t>Options</w:t>
      </w:r>
    </w:p>
    <w:p w14:paraId="72A17351" w14:textId="67B1E683" w:rsidR="000376E7" w:rsidRDefault="000376E7" w:rsidP="000376E7">
      <w:pPr>
        <w:pStyle w:val="ListParagraph"/>
        <w:numPr>
          <w:ilvl w:val="0"/>
          <w:numId w:val="6"/>
        </w:numPr>
        <w:pBdr>
          <w:top w:val="nil"/>
          <w:left w:val="nil"/>
          <w:bottom w:val="nil"/>
          <w:right w:val="nil"/>
          <w:between w:val="nil"/>
          <w:bar w:val="nil"/>
        </w:pBdr>
      </w:pPr>
      <w:r>
        <w:t>There are a range of options available:</w:t>
      </w:r>
    </w:p>
    <w:p w14:paraId="50690356" w14:textId="6534087A" w:rsidR="000376E7" w:rsidRDefault="000376E7" w:rsidP="000376E7">
      <w:pPr>
        <w:pStyle w:val="ListParagraph"/>
        <w:numPr>
          <w:ilvl w:val="1"/>
          <w:numId w:val="6"/>
        </w:numPr>
        <w:pBdr>
          <w:top w:val="nil"/>
          <w:left w:val="nil"/>
          <w:bottom w:val="nil"/>
          <w:right w:val="nil"/>
          <w:between w:val="nil"/>
          <w:bar w:val="nil"/>
        </w:pBdr>
      </w:pPr>
      <w:r>
        <w:t xml:space="preserve">Introduce a Parks PSPO </w:t>
      </w:r>
      <w:r w:rsidR="00631E71">
        <w:t xml:space="preserve">to provide a legally enforceable </w:t>
      </w:r>
      <w:r>
        <w:t>restrict</w:t>
      </w:r>
      <w:r w:rsidR="00631E71">
        <w:t>ion on</w:t>
      </w:r>
      <w:r>
        <w:t xml:space="preserve"> relevant behaviours</w:t>
      </w:r>
      <w:r w:rsidR="00631E71">
        <w:t>.</w:t>
      </w:r>
    </w:p>
    <w:p w14:paraId="3EFAD9E4" w14:textId="4E2B838A" w:rsidR="000376E7" w:rsidRDefault="000376E7" w:rsidP="000376E7">
      <w:pPr>
        <w:pStyle w:val="ListParagraph"/>
        <w:numPr>
          <w:ilvl w:val="1"/>
          <w:numId w:val="6"/>
        </w:numPr>
        <w:pBdr>
          <w:top w:val="nil"/>
          <w:left w:val="nil"/>
          <w:bottom w:val="nil"/>
          <w:right w:val="nil"/>
          <w:between w:val="nil"/>
          <w:bar w:val="nil"/>
        </w:pBdr>
      </w:pPr>
      <w:r>
        <w:t xml:space="preserve">Landowners or managing agents introduce signage </w:t>
      </w:r>
      <w:r w:rsidR="00631E71">
        <w:t>restricting relevant behaviours.  This is legally enforceable through alternative legislation if the behaviour meets the relevant legal test.  There are difficulties with this approach in identifying a person, and it can allow people to perpetrate a number of incidents prior to enforcement.</w:t>
      </w:r>
    </w:p>
    <w:p w14:paraId="18361973" w14:textId="6FA78954" w:rsidR="00631E71" w:rsidRDefault="00631E71" w:rsidP="00631E71">
      <w:pPr>
        <w:pStyle w:val="ListParagraph"/>
        <w:numPr>
          <w:ilvl w:val="1"/>
          <w:numId w:val="6"/>
        </w:numPr>
        <w:pBdr>
          <w:top w:val="nil"/>
          <w:left w:val="nil"/>
          <w:bottom w:val="nil"/>
          <w:right w:val="nil"/>
          <w:between w:val="nil"/>
          <w:bar w:val="nil"/>
        </w:pBdr>
      </w:pPr>
      <w:r>
        <w:t>Provide barbeque facilities and bin capacity in suitable locations.</w:t>
      </w:r>
    </w:p>
    <w:p w14:paraId="30045D87" w14:textId="44A9A4A7" w:rsidR="00DE632E" w:rsidRDefault="00DE632E">
      <w:pPr>
        <w:spacing w:after="0"/>
        <w:rPr>
          <w:b/>
        </w:rPr>
      </w:pPr>
    </w:p>
    <w:sectPr w:rsidR="00DE632E" w:rsidSect="00BC200B">
      <w:footerReference w:type="even" r:id="rId8"/>
      <w:headerReference w:type="first" r:id="rId9"/>
      <w:footerReference w:type="first" r:id="rId10"/>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2E4B58" w14:textId="77777777" w:rsidR="00D81C94" w:rsidRDefault="00D81C94" w:rsidP="004A6D2F">
      <w:r>
        <w:separator/>
      </w:r>
    </w:p>
  </w:endnote>
  <w:endnote w:type="continuationSeparator" w:id="0">
    <w:p w14:paraId="46B8A38B" w14:textId="77777777" w:rsidR="00D81C94" w:rsidRDefault="00D81C94"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403F9" w14:textId="77777777" w:rsidR="00333925" w:rsidRDefault="00333925" w:rsidP="004A6D2F">
    <w:pPr>
      <w:pStyle w:val="Footer"/>
    </w:pPr>
    <w:r>
      <w:t>Do not use a footer or page numbers.</w:t>
    </w:r>
  </w:p>
  <w:p w14:paraId="31394FC2" w14:textId="77777777" w:rsidR="00333925" w:rsidRDefault="00333925" w:rsidP="004A6D2F">
    <w:pPr>
      <w:pStyle w:val="Footer"/>
    </w:pPr>
  </w:p>
  <w:p w14:paraId="7EB59951" w14:textId="77777777" w:rsidR="00333925" w:rsidRDefault="00333925"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E7D17" w14:textId="77777777" w:rsidR="00333925" w:rsidRDefault="00333925"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E952B7" w14:textId="77777777" w:rsidR="00D81C94" w:rsidRDefault="00D81C94" w:rsidP="004A6D2F">
      <w:r>
        <w:separator/>
      </w:r>
    </w:p>
  </w:footnote>
  <w:footnote w:type="continuationSeparator" w:id="0">
    <w:p w14:paraId="32F9E10F" w14:textId="77777777" w:rsidR="00D81C94" w:rsidRDefault="00D81C94"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7B595E" w14:textId="77777777" w:rsidR="00333925" w:rsidRDefault="00333925" w:rsidP="00D5547E">
    <w:pPr>
      <w:pStyle w:val="Header"/>
      <w:jc w:val="right"/>
    </w:pPr>
    <w:r>
      <w:rPr>
        <w:noProof/>
      </w:rPr>
      <w:drawing>
        <wp:inline distT="0" distB="0" distL="0" distR="0" wp14:anchorId="0866BA05" wp14:editId="67FAFED9">
          <wp:extent cx="83820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6E14632"/>
    <w:multiLevelType w:val="hybridMultilevel"/>
    <w:tmpl w:val="E67CE66C"/>
    <w:numStyleLink w:val="StyleNumberedLeft0cmHanging075cm"/>
  </w:abstractNum>
  <w:abstractNum w:abstractNumId="4" w15:restartNumberingAfterBreak="0">
    <w:nsid w:val="3E4800DD"/>
    <w:multiLevelType w:val="hybridMultilevel"/>
    <w:tmpl w:val="B1C690DC"/>
    <w:lvl w:ilvl="0" w:tplc="350EA3FE">
      <w:start w:val="1"/>
      <w:numFmt w:val="decimal"/>
      <w:lvlText w:val="%1."/>
      <w:lvlJc w:val="left"/>
      <w:pPr>
        <w:ind w:left="360" w:hanging="360"/>
      </w:pPr>
      <w:rPr>
        <w:rFonts w:ascii="Arial" w:hAnsi="Arial"/>
        <w:color w:val="000000"/>
        <w:sz w:val="24"/>
      </w:rPr>
    </w:lvl>
    <w:lvl w:ilvl="1" w:tplc="08090001">
      <w:start w:val="1"/>
      <w:numFmt w:val="bullet"/>
      <w:lvlText w:val=""/>
      <w:lvlJc w:val="left"/>
      <w:pPr>
        <w:ind w:left="1080" w:hanging="360"/>
      </w:pPr>
      <w:rPr>
        <w:rFonts w:ascii="Symbol" w:hAnsi="Symbol" w:hint="default"/>
      </w:rPr>
    </w:lvl>
    <w:lvl w:ilvl="2" w:tplc="D11CCEC6">
      <w:start w:val="1"/>
      <w:numFmt w:val="lowerRoman"/>
      <w:lvlText w:val="%3."/>
      <w:lvlJc w:val="right"/>
      <w:pPr>
        <w:ind w:left="1800" w:hanging="180"/>
      </w:pPr>
    </w:lvl>
    <w:lvl w:ilvl="3" w:tplc="41D87B1A">
      <w:start w:val="1"/>
      <w:numFmt w:val="decimal"/>
      <w:lvlText w:val="%4."/>
      <w:lvlJc w:val="left"/>
      <w:pPr>
        <w:ind w:left="2520" w:hanging="360"/>
      </w:pPr>
    </w:lvl>
    <w:lvl w:ilvl="4" w:tplc="FC82A0C0">
      <w:start w:val="1"/>
      <w:numFmt w:val="lowerLetter"/>
      <w:lvlText w:val="%5."/>
      <w:lvlJc w:val="left"/>
      <w:pPr>
        <w:ind w:left="3240" w:hanging="360"/>
      </w:pPr>
    </w:lvl>
    <w:lvl w:ilvl="5" w:tplc="4CA8555E">
      <w:start w:val="1"/>
      <w:numFmt w:val="lowerRoman"/>
      <w:lvlText w:val="%6."/>
      <w:lvlJc w:val="right"/>
      <w:pPr>
        <w:ind w:left="3960" w:hanging="180"/>
      </w:pPr>
    </w:lvl>
    <w:lvl w:ilvl="6" w:tplc="70C6C664">
      <w:start w:val="1"/>
      <w:numFmt w:val="decimal"/>
      <w:lvlText w:val="%7."/>
      <w:lvlJc w:val="left"/>
      <w:pPr>
        <w:ind w:left="4680" w:hanging="360"/>
      </w:pPr>
    </w:lvl>
    <w:lvl w:ilvl="7" w:tplc="660A2790">
      <w:start w:val="1"/>
      <w:numFmt w:val="lowerLetter"/>
      <w:lvlText w:val="%8."/>
      <w:lvlJc w:val="left"/>
      <w:pPr>
        <w:ind w:left="5400" w:hanging="360"/>
      </w:pPr>
    </w:lvl>
    <w:lvl w:ilvl="8" w:tplc="2EDC3E58">
      <w:start w:val="1"/>
      <w:numFmt w:val="lowerRoman"/>
      <w:lvlText w:val="%9."/>
      <w:lvlJc w:val="right"/>
      <w:pPr>
        <w:ind w:left="6120" w:hanging="180"/>
      </w:pPr>
    </w:lvl>
  </w:abstractNum>
  <w:abstractNum w:abstractNumId="5"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D3F692F"/>
    <w:multiLevelType w:val="hybridMultilevel"/>
    <w:tmpl w:val="18503D7C"/>
    <w:lvl w:ilvl="0" w:tplc="08090001">
      <w:start w:val="1"/>
      <w:numFmt w:val="bullet"/>
      <w:lvlText w:val=""/>
      <w:lvlJc w:val="left"/>
      <w:pPr>
        <w:ind w:left="720" w:hanging="360"/>
      </w:pPr>
      <w:rPr>
        <w:rFonts w:ascii="Symbol" w:hAnsi="Symbol" w:hint="default"/>
        <w:color w:val="000000"/>
        <w:sz w:val="24"/>
      </w:rPr>
    </w:lvl>
    <w:lvl w:ilvl="1" w:tplc="D8B67D28">
      <w:start w:val="1"/>
      <w:numFmt w:val="lowerLetter"/>
      <w:lvlText w:val="%2."/>
      <w:lvlJc w:val="left"/>
      <w:pPr>
        <w:ind w:left="1440" w:hanging="360"/>
      </w:pPr>
    </w:lvl>
    <w:lvl w:ilvl="2" w:tplc="D11CCEC6">
      <w:start w:val="1"/>
      <w:numFmt w:val="lowerRoman"/>
      <w:lvlText w:val="%3."/>
      <w:lvlJc w:val="right"/>
      <w:pPr>
        <w:ind w:left="2160" w:hanging="180"/>
      </w:pPr>
    </w:lvl>
    <w:lvl w:ilvl="3" w:tplc="41D87B1A">
      <w:start w:val="1"/>
      <w:numFmt w:val="decimal"/>
      <w:lvlText w:val="%4."/>
      <w:lvlJc w:val="left"/>
      <w:pPr>
        <w:ind w:left="2880" w:hanging="360"/>
      </w:pPr>
    </w:lvl>
    <w:lvl w:ilvl="4" w:tplc="FC82A0C0">
      <w:start w:val="1"/>
      <w:numFmt w:val="lowerLetter"/>
      <w:lvlText w:val="%5."/>
      <w:lvlJc w:val="left"/>
      <w:pPr>
        <w:ind w:left="3600" w:hanging="360"/>
      </w:pPr>
    </w:lvl>
    <w:lvl w:ilvl="5" w:tplc="4CA8555E">
      <w:start w:val="1"/>
      <w:numFmt w:val="lowerRoman"/>
      <w:lvlText w:val="%6."/>
      <w:lvlJc w:val="right"/>
      <w:pPr>
        <w:ind w:left="4320" w:hanging="180"/>
      </w:pPr>
    </w:lvl>
    <w:lvl w:ilvl="6" w:tplc="70C6C664">
      <w:start w:val="1"/>
      <w:numFmt w:val="decimal"/>
      <w:lvlText w:val="%7."/>
      <w:lvlJc w:val="left"/>
      <w:pPr>
        <w:ind w:left="5040" w:hanging="360"/>
      </w:pPr>
    </w:lvl>
    <w:lvl w:ilvl="7" w:tplc="660A2790">
      <w:start w:val="1"/>
      <w:numFmt w:val="lowerLetter"/>
      <w:lvlText w:val="%8."/>
      <w:lvlJc w:val="left"/>
      <w:pPr>
        <w:ind w:left="5760" w:hanging="360"/>
      </w:pPr>
    </w:lvl>
    <w:lvl w:ilvl="8" w:tplc="2EDC3E58">
      <w:start w:val="1"/>
      <w:numFmt w:val="lowerRoman"/>
      <w:lvlText w:val="%9."/>
      <w:lvlJc w:val="right"/>
      <w:pPr>
        <w:ind w:left="6480" w:hanging="180"/>
      </w:pPr>
    </w:lvl>
  </w:abstractNum>
  <w:abstractNum w:abstractNumId="7" w15:restartNumberingAfterBreak="0">
    <w:nsid w:val="71977F0B"/>
    <w:multiLevelType w:val="hybridMultilevel"/>
    <w:tmpl w:val="7FAEB8C0"/>
    <w:lvl w:ilvl="0" w:tplc="08090001">
      <w:start w:val="1"/>
      <w:numFmt w:val="lowerLetter"/>
      <w:lvlText w:val="%1."/>
      <w:lvlJc w:val="left"/>
      <w:pPr>
        <w:ind w:left="144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798365C6"/>
    <w:multiLevelType w:val="multilevel"/>
    <w:tmpl w:val="E67CE66C"/>
    <w:numStyleLink w:val="StyleNumberedLeft0cmHanging075cm"/>
  </w:abstractNum>
  <w:num w:numId="1">
    <w:abstractNumId w:val="0"/>
  </w:num>
  <w:num w:numId="2">
    <w:abstractNumId w:val="8"/>
  </w:num>
  <w:num w:numId="3">
    <w:abstractNumId w:val="2"/>
  </w:num>
  <w:num w:numId="4">
    <w:abstractNumId w:val="1"/>
  </w:num>
  <w:num w:numId="5">
    <w:abstractNumId w:val="5"/>
  </w:num>
  <w:num w:numId="6">
    <w:abstractNumId w:val="3"/>
  </w:num>
  <w:num w:numId="7">
    <w:abstractNumId w:val="7"/>
  </w:num>
  <w:num w:numId="8">
    <w:abstractNumId w:val="4"/>
  </w:num>
  <w:num w:numId="9">
    <w:abstractNumId w:val="6"/>
  </w:num>
  <w:num w:numId="10">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LastOpened" w:val="05/10/2020 16:06"/>
  </w:docVars>
  <w:rsids>
    <w:rsidRoot w:val="00D860E2"/>
    <w:rsid w:val="000117D4"/>
    <w:rsid w:val="000314D7"/>
    <w:rsid w:val="000376E7"/>
    <w:rsid w:val="00045F8B"/>
    <w:rsid w:val="00046D2B"/>
    <w:rsid w:val="00056263"/>
    <w:rsid w:val="00064D8A"/>
    <w:rsid w:val="00064F82"/>
    <w:rsid w:val="00066510"/>
    <w:rsid w:val="00077523"/>
    <w:rsid w:val="000C089F"/>
    <w:rsid w:val="000C3928"/>
    <w:rsid w:val="000C5E8E"/>
    <w:rsid w:val="000F4751"/>
    <w:rsid w:val="00100BBF"/>
    <w:rsid w:val="0010524C"/>
    <w:rsid w:val="00111FB1"/>
    <w:rsid w:val="00113418"/>
    <w:rsid w:val="001356F1"/>
    <w:rsid w:val="00136994"/>
    <w:rsid w:val="0014128E"/>
    <w:rsid w:val="00151888"/>
    <w:rsid w:val="00170A2D"/>
    <w:rsid w:val="001752AD"/>
    <w:rsid w:val="001808BC"/>
    <w:rsid w:val="00182B81"/>
    <w:rsid w:val="0018619D"/>
    <w:rsid w:val="001A011E"/>
    <w:rsid w:val="001A066A"/>
    <w:rsid w:val="001A13E6"/>
    <w:rsid w:val="001A5731"/>
    <w:rsid w:val="001B03FB"/>
    <w:rsid w:val="001B42C3"/>
    <w:rsid w:val="001C5D5E"/>
    <w:rsid w:val="001D1D47"/>
    <w:rsid w:val="001D678D"/>
    <w:rsid w:val="001E03F8"/>
    <w:rsid w:val="001E1678"/>
    <w:rsid w:val="001E3376"/>
    <w:rsid w:val="002069B3"/>
    <w:rsid w:val="002329CF"/>
    <w:rsid w:val="00232F5B"/>
    <w:rsid w:val="00247C29"/>
    <w:rsid w:val="00260467"/>
    <w:rsid w:val="00263EA3"/>
    <w:rsid w:val="00284F85"/>
    <w:rsid w:val="00290915"/>
    <w:rsid w:val="002A22E2"/>
    <w:rsid w:val="002C64F7"/>
    <w:rsid w:val="002D2B59"/>
    <w:rsid w:val="002F1D2A"/>
    <w:rsid w:val="002F41F2"/>
    <w:rsid w:val="00301BF3"/>
    <w:rsid w:val="0030208D"/>
    <w:rsid w:val="00313FBA"/>
    <w:rsid w:val="00323418"/>
    <w:rsid w:val="00333925"/>
    <w:rsid w:val="0033413A"/>
    <w:rsid w:val="003357BF"/>
    <w:rsid w:val="00364FAD"/>
    <w:rsid w:val="0036738F"/>
    <w:rsid w:val="0036759C"/>
    <w:rsid w:val="00367AE5"/>
    <w:rsid w:val="00367D71"/>
    <w:rsid w:val="00373698"/>
    <w:rsid w:val="0038150A"/>
    <w:rsid w:val="003A6736"/>
    <w:rsid w:val="003B49D1"/>
    <w:rsid w:val="003B6E75"/>
    <w:rsid w:val="003B7DA1"/>
    <w:rsid w:val="003C7340"/>
    <w:rsid w:val="003D0379"/>
    <w:rsid w:val="003D2574"/>
    <w:rsid w:val="003D4C59"/>
    <w:rsid w:val="003D792F"/>
    <w:rsid w:val="003F4267"/>
    <w:rsid w:val="00404032"/>
    <w:rsid w:val="0040736F"/>
    <w:rsid w:val="00412C1F"/>
    <w:rsid w:val="00421CB2"/>
    <w:rsid w:val="004268B9"/>
    <w:rsid w:val="00433B96"/>
    <w:rsid w:val="004440F1"/>
    <w:rsid w:val="004456DD"/>
    <w:rsid w:val="00445FC5"/>
    <w:rsid w:val="00446CDF"/>
    <w:rsid w:val="004521B7"/>
    <w:rsid w:val="00462AB5"/>
    <w:rsid w:val="00465EAF"/>
    <w:rsid w:val="004738C5"/>
    <w:rsid w:val="0048554F"/>
    <w:rsid w:val="00491046"/>
    <w:rsid w:val="004A2AC7"/>
    <w:rsid w:val="004A6D2F"/>
    <w:rsid w:val="004C2887"/>
    <w:rsid w:val="004D2626"/>
    <w:rsid w:val="004D6E26"/>
    <w:rsid w:val="004D77D3"/>
    <w:rsid w:val="004E2959"/>
    <w:rsid w:val="004F20EF"/>
    <w:rsid w:val="0050321C"/>
    <w:rsid w:val="00506C22"/>
    <w:rsid w:val="0054712D"/>
    <w:rsid w:val="00547EF6"/>
    <w:rsid w:val="005570B5"/>
    <w:rsid w:val="00567E18"/>
    <w:rsid w:val="00575F5F"/>
    <w:rsid w:val="00581805"/>
    <w:rsid w:val="00585F76"/>
    <w:rsid w:val="00593AF8"/>
    <w:rsid w:val="005A2627"/>
    <w:rsid w:val="005A34E4"/>
    <w:rsid w:val="005A7B51"/>
    <w:rsid w:val="005B17F2"/>
    <w:rsid w:val="005B7FB0"/>
    <w:rsid w:val="005C35A5"/>
    <w:rsid w:val="005C577C"/>
    <w:rsid w:val="005D0621"/>
    <w:rsid w:val="005D1E27"/>
    <w:rsid w:val="005D2A3E"/>
    <w:rsid w:val="005D5010"/>
    <w:rsid w:val="005E022E"/>
    <w:rsid w:val="005E5215"/>
    <w:rsid w:val="005F7F7E"/>
    <w:rsid w:val="006060A8"/>
    <w:rsid w:val="00614693"/>
    <w:rsid w:val="00623C2F"/>
    <w:rsid w:val="00626BEE"/>
    <w:rsid w:val="00631E71"/>
    <w:rsid w:val="00633578"/>
    <w:rsid w:val="00637068"/>
    <w:rsid w:val="006473FE"/>
    <w:rsid w:val="00650811"/>
    <w:rsid w:val="00661D3E"/>
    <w:rsid w:val="00684E52"/>
    <w:rsid w:val="00692627"/>
    <w:rsid w:val="006969E7"/>
    <w:rsid w:val="006A3643"/>
    <w:rsid w:val="006C2A29"/>
    <w:rsid w:val="006C64CF"/>
    <w:rsid w:val="006D17B1"/>
    <w:rsid w:val="006D4752"/>
    <w:rsid w:val="006D708A"/>
    <w:rsid w:val="006E14C1"/>
    <w:rsid w:val="006F0292"/>
    <w:rsid w:val="006F27FA"/>
    <w:rsid w:val="006F3DC5"/>
    <w:rsid w:val="006F416B"/>
    <w:rsid w:val="006F519B"/>
    <w:rsid w:val="00713675"/>
    <w:rsid w:val="00715823"/>
    <w:rsid w:val="00737B93"/>
    <w:rsid w:val="00745BF0"/>
    <w:rsid w:val="007559EA"/>
    <w:rsid w:val="007615FE"/>
    <w:rsid w:val="0076655C"/>
    <w:rsid w:val="007742DC"/>
    <w:rsid w:val="00791437"/>
    <w:rsid w:val="00795989"/>
    <w:rsid w:val="007A251B"/>
    <w:rsid w:val="007B0C2C"/>
    <w:rsid w:val="007B278E"/>
    <w:rsid w:val="007B363D"/>
    <w:rsid w:val="007C5C23"/>
    <w:rsid w:val="007E2A26"/>
    <w:rsid w:val="007F2348"/>
    <w:rsid w:val="00803F07"/>
    <w:rsid w:val="0080749A"/>
    <w:rsid w:val="00821FB8"/>
    <w:rsid w:val="00822ACD"/>
    <w:rsid w:val="008245C1"/>
    <w:rsid w:val="0082473A"/>
    <w:rsid w:val="00855C66"/>
    <w:rsid w:val="00871EE4"/>
    <w:rsid w:val="008818AD"/>
    <w:rsid w:val="00886AEF"/>
    <w:rsid w:val="008B293F"/>
    <w:rsid w:val="008B7371"/>
    <w:rsid w:val="008C7724"/>
    <w:rsid w:val="008D3DDB"/>
    <w:rsid w:val="008F573F"/>
    <w:rsid w:val="009034EC"/>
    <w:rsid w:val="0093067A"/>
    <w:rsid w:val="00941C60"/>
    <w:rsid w:val="00941FD1"/>
    <w:rsid w:val="00966D42"/>
    <w:rsid w:val="00971689"/>
    <w:rsid w:val="00973E90"/>
    <w:rsid w:val="00975B07"/>
    <w:rsid w:val="00980B4A"/>
    <w:rsid w:val="009B410C"/>
    <w:rsid w:val="009B76F6"/>
    <w:rsid w:val="009E3D0A"/>
    <w:rsid w:val="009E51FC"/>
    <w:rsid w:val="009F1D28"/>
    <w:rsid w:val="009F7618"/>
    <w:rsid w:val="00A04D23"/>
    <w:rsid w:val="00A06766"/>
    <w:rsid w:val="00A13765"/>
    <w:rsid w:val="00A21B12"/>
    <w:rsid w:val="00A23F80"/>
    <w:rsid w:val="00A46E98"/>
    <w:rsid w:val="00A6352B"/>
    <w:rsid w:val="00A701B5"/>
    <w:rsid w:val="00A714BB"/>
    <w:rsid w:val="00A7624C"/>
    <w:rsid w:val="00A77147"/>
    <w:rsid w:val="00A92D8F"/>
    <w:rsid w:val="00A94017"/>
    <w:rsid w:val="00AB2988"/>
    <w:rsid w:val="00AB440B"/>
    <w:rsid w:val="00AB7999"/>
    <w:rsid w:val="00AC6C4E"/>
    <w:rsid w:val="00AD085C"/>
    <w:rsid w:val="00AD3292"/>
    <w:rsid w:val="00AE07DD"/>
    <w:rsid w:val="00AE44DE"/>
    <w:rsid w:val="00AE7AF0"/>
    <w:rsid w:val="00B208CF"/>
    <w:rsid w:val="00B500CA"/>
    <w:rsid w:val="00B646DB"/>
    <w:rsid w:val="00B86314"/>
    <w:rsid w:val="00BA1C2E"/>
    <w:rsid w:val="00BB082F"/>
    <w:rsid w:val="00BB47AF"/>
    <w:rsid w:val="00BC200B"/>
    <w:rsid w:val="00BC4756"/>
    <w:rsid w:val="00BC69A4"/>
    <w:rsid w:val="00BD48B9"/>
    <w:rsid w:val="00BE0680"/>
    <w:rsid w:val="00BE305F"/>
    <w:rsid w:val="00BE7BA3"/>
    <w:rsid w:val="00BF4716"/>
    <w:rsid w:val="00BF5682"/>
    <w:rsid w:val="00BF7B09"/>
    <w:rsid w:val="00C17BA3"/>
    <w:rsid w:val="00C20A95"/>
    <w:rsid w:val="00C2692F"/>
    <w:rsid w:val="00C3207C"/>
    <w:rsid w:val="00C400E1"/>
    <w:rsid w:val="00C41187"/>
    <w:rsid w:val="00C63C31"/>
    <w:rsid w:val="00C757A0"/>
    <w:rsid w:val="00C760DE"/>
    <w:rsid w:val="00C82630"/>
    <w:rsid w:val="00C85B4E"/>
    <w:rsid w:val="00C907F7"/>
    <w:rsid w:val="00C97FDC"/>
    <w:rsid w:val="00CA2103"/>
    <w:rsid w:val="00CB6B99"/>
    <w:rsid w:val="00CE4C87"/>
    <w:rsid w:val="00CE544A"/>
    <w:rsid w:val="00CF2461"/>
    <w:rsid w:val="00D073FF"/>
    <w:rsid w:val="00D11E1C"/>
    <w:rsid w:val="00D160B0"/>
    <w:rsid w:val="00D17F94"/>
    <w:rsid w:val="00D223FC"/>
    <w:rsid w:val="00D26D1E"/>
    <w:rsid w:val="00D474CF"/>
    <w:rsid w:val="00D5547E"/>
    <w:rsid w:val="00D618DF"/>
    <w:rsid w:val="00D81C94"/>
    <w:rsid w:val="00D860E2"/>
    <w:rsid w:val="00D869A1"/>
    <w:rsid w:val="00DA413F"/>
    <w:rsid w:val="00DA4584"/>
    <w:rsid w:val="00DA614B"/>
    <w:rsid w:val="00DB7AD7"/>
    <w:rsid w:val="00DC3060"/>
    <w:rsid w:val="00DC6ACD"/>
    <w:rsid w:val="00DE0FB2"/>
    <w:rsid w:val="00DE1698"/>
    <w:rsid w:val="00DE632E"/>
    <w:rsid w:val="00DF093E"/>
    <w:rsid w:val="00E0034C"/>
    <w:rsid w:val="00E01F42"/>
    <w:rsid w:val="00E1170C"/>
    <w:rsid w:val="00E206D6"/>
    <w:rsid w:val="00E3366E"/>
    <w:rsid w:val="00E52086"/>
    <w:rsid w:val="00E543A6"/>
    <w:rsid w:val="00E60479"/>
    <w:rsid w:val="00E61D73"/>
    <w:rsid w:val="00E73684"/>
    <w:rsid w:val="00E77C19"/>
    <w:rsid w:val="00E818D6"/>
    <w:rsid w:val="00E87F7A"/>
    <w:rsid w:val="00E94B3E"/>
    <w:rsid w:val="00E96BD7"/>
    <w:rsid w:val="00EA0DB1"/>
    <w:rsid w:val="00EA0EE9"/>
    <w:rsid w:val="00EB0C36"/>
    <w:rsid w:val="00EC2E5C"/>
    <w:rsid w:val="00EC365E"/>
    <w:rsid w:val="00ED52CA"/>
    <w:rsid w:val="00ED5860"/>
    <w:rsid w:val="00EE35C9"/>
    <w:rsid w:val="00F05ECA"/>
    <w:rsid w:val="00F25176"/>
    <w:rsid w:val="00F3566E"/>
    <w:rsid w:val="00F375FB"/>
    <w:rsid w:val="00F41AC1"/>
    <w:rsid w:val="00F4367A"/>
    <w:rsid w:val="00F445B1"/>
    <w:rsid w:val="00F45CD4"/>
    <w:rsid w:val="00F66DCA"/>
    <w:rsid w:val="00F74F53"/>
    <w:rsid w:val="00F7606D"/>
    <w:rsid w:val="00F81670"/>
    <w:rsid w:val="00F82024"/>
    <w:rsid w:val="00F95BC9"/>
    <w:rsid w:val="00FA624C"/>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B21812A"/>
  <w15:chartTrackingRefBased/>
  <w15:docId w15:val="{D1AF699E-11C0-4D68-9FDE-7E4520006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6E7"/>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pPr>
      <w:numPr>
        <w:numId w:val="0"/>
      </w:numPr>
    </w:pPr>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numbering" w:customStyle="1" w:styleId="StyleNumberedLeft0cmHanging075cm1">
    <w:name w:val="Style Numbered Left:  0 cm Hanging:  0.75 cm1"/>
    <w:basedOn w:val="NoList"/>
    <w:rsid w:val="00EB0C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60328409">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5286A-B575-4CD0-9DF8-04CF9EF11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3E237A9F</Template>
  <TotalTime>263</TotalTime>
  <Pages>4</Pages>
  <Words>1473</Words>
  <Characters>7386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8842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abrown2</dc:creator>
  <cp:keywords/>
  <cp:lastModifiedBy>ADAMS Richard J</cp:lastModifiedBy>
  <cp:revision>14</cp:revision>
  <cp:lastPrinted>2015-07-03T12:50:00Z</cp:lastPrinted>
  <dcterms:created xsi:type="dcterms:W3CDTF">2020-11-02T18:22:00Z</dcterms:created>
  <dcterms:modified xsi:type="dcterms:W3CDTF">2021-07-27T14:01:00Z</dcterms:modified>
</cp:coreProperties>
</file>